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[Organization] standard for</w:t>
      </w:r>
      <w:r>
        <w:br/>
      </w:r>
      <w:r>
        <w:t>AI-built applications</w:t>
      </w:r>
    </w:p>
    <w:p>
      <w:r>
        <w:rPr>
          <w:rFonts w:ascii="Arial" w:hAnsi="Arial"/>
          <w:b w:val="0"/>
          <w:color w:val="6E767E"/>
        </w:rPr>
        <w:t>Building, deploying and running apps made with AI assistants</w:t>
      </w:r>
    </w:p>
    <w:p>
      <w:pPr>
        <w:pStyle w:val="Heading2"/>
      </w:pPr>
      <w:r>
        <w:t>Document control</w:t>
      </w:r>
    </w:p>
    <w:tbl>
      <w:tblPr>
        <w:tblStyle w:val="TableGrid"/>
        <w:tblW w:type="auto" w:w="0"/>
        <w:tblLayout w:type="fixed"/>
        <w:tblLook w:firstColumn="1" w:firstRow="1" w:lastColumn="0" w:lastRow="0" w:noHBand="0" w:noVBand="1" w:val="04A0"/>
        <w:tblLayout w:type="fixed"/>
      </w:tblPr>
      <w:tblGrid>
        <w:gridCol w:w="2835"/>
        <w:gridCol w:w="6576"/>
      </w:tblGrid>
      <w:tr>
        <w:trPr>
          <w:trHeight w:val="340"/>
        </w:trPr>
        <w:tc>
          <w:tcPr>
            <w:tcW w:type="dxa" w:w="2835"/>
            <w:shd w:val="clear" w:color="auto" w:fill="F1F3F4"/>
          </w:tcPr>
          <w:p>
            <w:r>
              <w:rPr>
                <w:rFonts w:ascii="Arial" w:hAnsi="Arial"/>
                <w:b/>
                <w:sz w:val="19"/>
              </w:rPr>
              <w:t>Owner</w:t>
            </w:r>
          </w:p>
        </w:tc>
        <w:tc>
          <w:tcPr>
            <w:tcW w:type="dxa" w:w="6576"/>
          </w:tcPr>
          <w:p>
            <w:r>
              <w:rPr>
                <w:rFonts w:ascii="Arial" w:hAnsi="Arial"/>
                <w:b w:val="0"/>
                <w:color w:val="4D7C0F"/>
                <w:sz w:val="19"/>
              </w:rPr>
              <w:t>[Name, role]</w:t>
            </w:r>
          </w:p>
        </w:tc>
      </w:tr>
      <w:tr>
        <w:trPr>
          <w:trHeight w:val="340"/>
        </w:trPr>
        <w:tc>
          <w:tcPr>
            <w:tcW w:type="dxa" w:w="2835"/>
            <w:shd w:val="clear" w:color="auto" w:fill="F1F3F4"/>
          </w:tcPr>
          <w:p>
            <w:r>
              <w:rPr>
                <w:rFonts w:ascii="Arial" w:hAnsi="Arial"/>
                <w:b/>
                <w:sz w:val="19"/>
              </w:rPr>
              <w:t>Approver</w:t>
            </w:r>
          </w:p>
        </w:tc>
        <w:tc>
          <w:tcPr>
            <w:tcW w:type="dxa" w:w="6576"/>
          </w:tcPr>
          <w:p>
            <w:r>
              <w:rPr>
                <w:rFonts w:ascii="Arial" w:hAnsi="Arial"/>
                <w:b w:val="0"/>
                <w:color w:val="4D7C0F"/>
                <w:sz w:val="19"/>
              </w:rPr>
              <w:t>[Name, role]</w:t>
            </w:r>
          </w:p>
        </w:tc>
      </w:tr>
      <w:tr>
        <w:trPr>
          <w:trHeight w:val="340"/>
        </w:trPr>
        <w:tc>
          <w:tcPr>
            <w:tcW w:type="dxa" w:w="2835"/>
            <w:shd w:val="clear" w:color="auto" w:fill="F1F3F4"/>
          </w:tcPr>
          <w:p>
            <w:r>
              <w:rPr>
                <w:rFonts w:ascii="Arial" w:hAnsi="Arial"/>
                <w:b/>
                <w:sz w:val="19"/>
              </w:rPr>
              <w:t>Version</w:t>
            </w:r>
          </w:p>
        </w:tc>
        <w:tc>
          <w:tcPr>
            <w:tcW w:type="dxa" w:w="6576"/>
          </w:tcPr>
          <w:p>
            <w:r>
              <w:rPr>
                <w:rFonts w:ascii="Arial" w:hAnsi="Arial"/>
                <w:b w:val="0"/>
                <w:color w:val="4D7C0F"/>
                <w:sz w:val="19"/>
              </w:rPr>
              <w:t>[1.0]</w:t>
            </w:r>
          </w:p>
        </w:tc>
      </w:tr>
      <w:tr>
        <w:trPr>
          <w:trHeight w:val="340"/>
        </w:trPr>
        <w:tc>
          <w:tcPr>
            <w:tcW w:type="dxa" w:w="2835"/>
            <w:shd w:val="clear" w:color="auto" w:fill="F1F3F4"/>
          </w:tcPr>
          <w:p>
            <w:r>
              <w:rPr>
                <w:rFonts w:ascii="Arial" w:hAnsi="Arial"/>
                <w:b/>
                <w:sz w:val="19"/>
              </w:rPr>
              <w:t>Effective date</w:t>
            </w:r>
          </w:p>
        </w:tc>
        <w:tc>
          <w:tcPr>
            <w:tcW w:type="dxa" w:w="6576"/>
          </w:tcPr>
          <w:p>
            <w:r>
              <w:rPr>
                <w:rFonts w:ascii="Arial" w:hAnsi="Arial"/>
                <w:b w:val="0"/>
                <w:color w:val="4D7C0F"/>
                <w:sz w:val="19"/>
              </w:rPr>
              <w:t>[Date]</w:t>
            </w:r>
          </w:p>
        </w:tc>
      </w:tr>
      <w:tr>
        <w:trPr>
          <w:trHeight w:val="340"/>
        </w:trPr>
        <w:tc>
          <w:tcPr>
            <w:tcW w:type="dxa" w:w="2835"/>
            <w:shd w:val="clear" w:color="auto" w:fill="F1F3F4"/>
          </w:tcPr>
          <w:p>
            <w:r>
              <w:rPr>
                <w:rFonts w:ascii="Arial" w:hAnsi="Arial"/>
                <w:b/>
                <w:sz w:val="19"/>
              </w:rPr>
              <w:t>Next review</w:t>
            </w:r>
          </w:p>
        </w:tc>
        <w:tc>
          <w:tcPr>
            <w:tcW w:type="dxa" w:w="6576"/>
          </w:tcPr>
          <w:p>
            <w:r>
              <w:rPr>
                <w:rFonts w:ascii="Arial" w:hAnsi="Arial"/>
                <w:b w:val="0"/>
                <w:color w:val="4D7C0F"/>
                <w:sz w:val="19"/>
              </w:rPr>
              <w:t>[Date, at most six months after the effective date]</w:t>
            </w:r>
          </w:p>
        </w:tc>
      </w:tr>
      <w:tr>
        <w:trPr>
          <w:trHeight w:val="340"/>
        </w:trPr>
        <w:tc>
          <w:tcPr>
            <w:tcW w:type="dxa" w:w="2835"/>
            <w:shd w:val="clear" w:color="auto" w:fill="F1F3F4"/>
          </w:tcPr>
          <w:p>
            <w:r>
              <w:rPr>
                <w:rFonts w:ascii="Arial" w:hAnsi="Arial"/>
                <w:b/>
                <w:sz w:val="19"/>
              </w:rPr>
              <w:t>Classification</w:t>
            </w:r>
          </w:p>
        </w:tc>
        <w:tc>
          <w:tcPr>
            <w:tcW w:type="dxa" w:w="6576"/>
          </w:tcPr>
          <w:p>
            <w:r>
              <w:rPr>
                <w:rFonts w:ascii="Arial" w:hAnsi="Arial"/>
                <w:b w:val="0"/>
                <w:sz w:val="19"/>
              </w:rPr>
              <w:t>Internal</w:t>
            </w:r>
          </w:p>
        </w:tc>
      </w:tr>
      <w:tr>
        <w:trPr>
          <w:trHeight w:val="340"/>
        </w:trPr>
        <w:tc>
          <w:tcPr>
            <w:tcW w:type="dxa" w:w="2835"/>
            <w:shd w:val="clear" w:color="auto" w:fill="F1F3F4"/>
          </w:tcPr>
          <w:p>
            <w:r>
              <w:rPr>
                <w:rFonts w:ascii="Arial" w:hAnsi="Arial"/>
                <w:b/>
                <w:sz w:val="19"/>
              </w:rPr>
              <w:t>Questions</w:t>
            </w:r>
          </w:p>
        </w:tc>
        <w:tc>
          <w:tcPr>
            <w:tcW w:type="dxa" w:w="6576"/>
          </w:tcPr>
          <w:p>
            <w:r>
              <w:rPr>
                <w:rFonts w:ascii="Arial" w:hAnsi="Arial"/>
                <w:b w:val="0"/>
                <w:color w:val="4D7C0F"/>
                <w:sz w:val="19"/>
              </w:rPr>
              <w:t>[Channel or team]</w:t>
            </w:r>
          </w:p>
        </w:tc>
      </w:tr>
    </w:tbl>
    <w:p/>
    <w:p>
      <w:pPr>
        <w:pStyle w:val="Heading1"/>
      </w:pPr>
      <w:r>
        <w:t>1. Purpose</w:t>
      </w:r>
    </w:p>
    <w:p>
      <w:r>
        <w:rPr>
          <w:rFonts w:ascii="Arial" w:hAnsi="Arial"/>
          <w:b w:val="0"/>
        </w:rPr>
        <w:t xml:space="preserve">This standard sets the rules for building, deploying and running apps made with AI assistants at </w:t>
      </w:r>
      <w:r>
        <w:rPr>
          <w:rFonts w:ascii="Arial" w:hAnsi="Arial"/>
          <w:b w:val="0"/>
          <w:color w:val="4D7C0F"/>
        </w:rPr>
        <w:t>[Organization]</w:t>
      </w:r>
      <w:r>
        <w:rPr>
          <w:rFonts w:ascii="Arial" w:hAnsi="Arial"/>
          <w:b w:val="0"/>
        </w:rPr>
        <w:t>. People can build fast, and company data stays protected. Every app in production has an owner and a record.</w:t>
      </w:r>
    </w:p>
    <w:p>
      <w:pPr>
        <w:pStyle w:val="Heading1"/>
      </w:pPr>
      <w:r>
        <w:t>2. Scope</w:t>
      </w:r>
    </w:p>
    <w:p>
      <w:pPr>
        <w:pStyle w:val="ListBullet"/>
      </w:pPr>
      <w:r>
        <w:rPr>
          <w:rFonts w:ascii="Arial" w:hAnsi="Arial"/>
          <w:b w:val="0"/>
        </w:rPr>
        <w:t xml:space="preserve">Who: anyone at </w:t>
      </w:r>
      <w:r>
        <w:rPr>
          <w:rFonts w:ascii="Arial" w:hAnsi="Arial"/>
          <w:b w:val="0"/>
          <w:color w:val="4D7C0F"/>
        </w:rPr>
        <w:t>[Organization]</w:t>
      </w:r>
      <w:r>
        <w:rPr>
          <w:rFonts w:ascii="Arial" w:hAnsi="Arial"/>
          <w:b w:val="0"/>
        </w:rPr>
        <w:t xml:space="preserve"> who builds with an AI assistant, whatever their role, and the IT, platform and security teams who support them.</w:t>
      </w:r>
    </w:p>
    <w:p>
      <w:pPr>
        <w:pStyle w:val="ListBullet"/>
      </w:pPr>
      <w:r>
        <w:rPr>
          <w:rFonts w:ascii="Arial" w:hAnsi="Arial"/>
          <w:b w:val="0"/>
        </w:rPr>
        <w:t>What: apps, scripts and automations built with an AI assistant that use company data or connect to company systems.</w:t>
      </w:r>
    </w:p>
    <w:p>
      <w:r>
        <w:rPr>
          <w:rFonts w:ascii="Arial" w:hAnsi="Arial"/>
          <w:b/>
        </w:rPr>
        <w:t>Out of scope:</w:t>
      </w:r>
    </w:p>
    <w:p>
      <w:pPr>
        <w:pStyle w:val="ListBullet"/>
      </w:pPr>
      <w:r>
        <w:rPr>
          <w:rFonts w:ascii="Arial" w:hAnsi="Arial"/>
          <w:b w:val="0"/>
        </w:rPr>
        <w:t xml:space="preserve">Software built by engineering teams under </w:t>
      </w:r>
      <w:r>
        <w:rPr>
          <w:rFonts w:ascii="Arial" w:hAnsi="Arial"/>
          <w:b w:val="0"/>
          <w:color w:val="4D7C0F"/>
        </w:rPr>
        <w:t>[the software development standard]</w:t>
      </w:r>
      <w:r>
        <w:rPr>
          <w:rFonts w:ascii="Arial" w:hAnsi="Arial"/>
          <w:b w:val="0"/>
        </w:rPr>
        <w:t>.</w:t>
      </w:r>
    </w:p>
    <w:p>
      <w:pPr>
        <w:pStyle w:val="ListBullet"/>
      </w:pPr>
      <w:r>
        <w:rPr>
          <w:rFonts w:ascii="Arial" w:hAnsi="Arial"/>
          <w:b w:val="0"/>
        </w:rPr>
        <w:t>Personal experiments that use no company data or systems and that no one else uses.</w:t>
      </w:r>
    </w:p>
    <w:p>
      <w:pPr>
        <w:pStyle w:val="ListBullet"/>
      </w:pPr>
      <w:r>
        <w:rPr>
          <w:rFonts w:ascii="Arial" w:hAnsi="Arial"/>
          <w:b w:val="0"/>
        </w:rPr>
        <w:t xml:space="preserve">Purchased software, which follows </w:t>
      </w:r>
      <w:r>
        <w:rPr>
          <w:rFonts w:ascii="Arial" w:hAnsi="Arial"/>
          <w:b w:val="0"/>
          <w:color w:val="4D7C0F"/>
        </w:rPr>
        <w:t>[the procurement standard]</w:t>
      </w:r>
      <w:r>
        <w:rPr>
          <w:rFonts w:ascii="Arial" w:hAnsi="Arial"/>
          <w:b w:val="0"/>
        </w:rPr>
        <w:t>.</w:t>
      </w:r>
    </w:p>
    <w:p>
      <w:pPr>
        <w:pStyle w:val="Heading1"/>
      </w:pPr>
      <w:r>
        <w:t>3. Definitions</w:t>
      </w:r>
    </w:p>
    <w:tbl>
      <w:tblPr>
        <w:tblStyle w:val="TableGrid"/>
        <w:tblW w:type="auto" w:w="0"/>
        <w:jc w:val="left"/>
        <w:tblLayout w:type="fixed"/>
        <w:tblLook w:firstColumn="1" w:firstRow="1" w:lastColumn="0" w:lastRow="0" w:noHBand="0" w:noVBand="1" w:val="04A0"/>
        <w:tblLayout w:type="fixed"/>
      </w:tblPr>
      <w:tblGrid>
        <w:gridCol w:w="2381"/>
        <w:gridCol w:w="7030"/>
      </w:tblGrid>
      <w:tr>
        <w:trPr>
          <w:tblHeader w:val="true"/>
        </w:trPr>
        <w:tc>
          <w:tcPr>
            <w:tcW w:type="dxa" w:w="2381"/>
            <w:shd w:val="clear" w:color="auto" w:fill="ADEE23"/>
          </w:tcPr>
          <w:p>
            <w:r/>
            <w:r>
              <w:rPr>
                <w:rFonts w:ascii="Arial" w:hAnsi="Arial"/>
                <w:b/>
                <w:sz w:val="19"/>
              </w:rPr>
              <w:t>Term</w:t>
            </w:r>
          </w:p>
        </w:tc>
        <w:tc>
          <w:tcPr>
            <w:tcW w:type="dxa" w:w="7030"/>
            <w:shd w:val="clear" w:color="auto" w:fill="ADEE23"/>
          </w:tcPr>
          <w:p>
            <w:r/>
            <w:r>
              <w:rPr>
                <w:rFonts w:ascii="Arial" w:hAnsi="Arial"/>
                <w:b/>
                <w:sz w:val="19"/>
              </w:rPr>
              <w:t>Meaning</w:t>
            </w:r>
          </w:p>
        </w:tc>
      </w:tr>
      <w:tr>
        <w:tc>
          <w:tcPr>
            <w:tcW w:type="dxa" w:w="2381"/>
          </w:tcPr>
          <w:p>
            <w:pPr>
              <w:spacing w:after="40"/>
            </w:pPr>
            <w:r/>
            <w:r>
              <w:rPr>
                <w:rFonts w:ascii="Arial" w:hAnsi="Arial"/>
                <w:b/>
                <w:sz w:val="19"/>
              </w:rPr>
              <w:t>AI assistant</w:t>
            </w:r>
          </w:p>
        </w:tc>
        <w:tc>
          <w:tcPr>
            <w:tcW w:type="dxa" w:w="7030"/>
          </w:tcPr>
          <w:p>
            <w:pPr>
              <w:spacing w:after="40"/>
            </w:pPr>
            <w:r/>
            <w:r>
              <w:rPr>
                <w:rFonts w:ascii="Arial" w:hAnsi="Arial"/>
                <w:b w:val="0"/>
                <w:sz w:val="19"/>
              </w:rPr>
              <w:t>A tool that writes or changes code from plain-language instructions, such as Claude Code, Codex or Cursor.</w:t>
            </w:r>
          </w:p>
        </w:tc>
      </w:tr>
      <w:tr>
        <w:tc>
          <w:tcPr>
            <w:tcW w:type="dxa" w:w="2381"/>
          </w:tcPr>
          <w:p>
            <w:pPr>
              <w:spacing w:after="40"/>
            </w:pPr>
            <w:r/>
            <w:r>
              <w:rPr>
                <w:rFonts w:ascii="Arial" w:hAnsi="Arial"/>
                <w:b/>
                <w:sz w:val="19"/>
              </w:rPr>
              <w:t>AI-built app</w:t>
            </w:r>
          </w:p>
        </w:tc>
        <w:tc>
          <w:tcPr>
            <w:tcW w:type="dxa" w:w="7030"/>
          </w:tcPr>
          <w:p>
            <w:pPr>
              <w:spacing w:after="40"/>
            </w:pPr>
            <w:r/>
            <w:r>
              <w:rPr>
                <w:rFonts w:ascii="Arial" w:hAnsi="Arial"/>
                <w:b w:val="0"/>
                <w:sz w:val="19"/>
              </w:rPr>
              <w:t>An app, script or automation where an AI assistant wrote a significant part of the code.</w:t>
            </w:r>
          </w:p>
        </w:tc>
      </w:tr>
      <w:tr>
        <w:tc>
          <w:tcPr>
            <w:tcW w:type="dxa" w:w="2381"/>
          </w:tcPr>
          <w:p>
            <w:pPr>
              <w:spacing w:after="40"/>
            </w:pPr>
            <w:r/>
            <w:r>
              <w:rPr>
                <w:rFonts w:ascii="Arial" w:hAnsi="Arial"/>
                <w:b/>
                <w:sz w:val="19"/>
              </w:rPr>
              <w:t>Production</w:t>
            </w:r>
          </w:p>
        </w:tc>
        <w:tc>
          <w:tcPr>
            <w:tcW w:type="dxa" w:w="7030"/>
          </w:tcPr>
          <w:p>
            <w:pPr>
              <w:spacing w:after="40"/>
            </w:pPr>
            <w:r/>
            <w:r>
              <w:rPr>
                <w:rFonts w:ascii="Arial" w:hAnsi="Arial"/>
                <w:b w:val="0"/>
                <w:sz w:val="19"/>
              </w:rPr>
              <w:t>Any use by someone other than the builder, or any use of real company data or systems.</w:t>
            </w:r>
          </w:p>
        </w:tc>
      </w:tr>
      <w:tr>
        <w:tc>
          <w:tcPr>
            <w:tcW w:type="dxa" w:w="2381"/>
          </w:tcPr>
          <w:p>
            <w:pPr>
              <w:spacing w:after="40"/>
            </w:pPr>
            <w:r/>
            <w:r>
              <w:rPr>
                <w:rFonts w:ascii="Arial" w:hAnsi="Arial"/>
                <w:b/>
                <w:sz w:val="19"/>
              </w:rPr>
              <w:t>Owner</w:t>
            </w:r>
          </w:p>
        </w:tc>
        <w:tc>
          <w:tcPr>
            <w:tcW w:type="dxa" w:w="7030"/>
          </w:tcPr>
          <w:p>
            <w:pPr>
              <w:spacing w:after="40"/>
            </w:pPr>
            <w:r/>
            <w:r>
              <w:rPr>
                <w:rFonts w:ascii="Arial" w:hAnsi="Arial"/>
                <w:b w:val="0"/>
                <w:sz w:val="19"/>
              </w:rPr>
              <w:t>The named person accountable for an app: its access, data, upkeep and retirement.</w:t>
            </w:r>
          </w:p>
        </w:tc>
      </w:tr>
      <w:tr>
        <w:tc>
          <w:tcPr>
            <w:tcW w:type="dxa" w:w="2381"/>
          </w:tcPr>
          <w:p>
            <w:pPr>
              <w:spacing w:after="40"/>
            </w:pPr>
            <w:r/>
            <w:r>
              <w:rPr>
                <w:rFonts w:ascii="Arial" w:hAnsi="Arial"/>
                <w:b/>
                <w:sz w:val="19"/>
              </w:rPr>
              <w:t>Approved way to ship</w:t>
            </w:r>
          </w:p>
        </w:tc>
        <w:tc>
          <w:tcPr>
            <w:tcW w:type="dxa" w:w="7030"/>
          </w:tcPr>
          <w:p>
            <w:pPr>
              <w:spacing w:after="40"/>
            </w:pPr>
            <w:r/>
            <w:r>
              <w:rPr>
                <w:rFonts w:ascii="Arial" w:hAnsi="Arial"/>
                <w:b w:val="0"/>
                <w:color w:val="4D7C0F"/>
                <w:sz w:val="19"/>
              </w:rPr>
              <w:t>[The deployment route IT provides]</w:t>
            </w:r>
            <w:r>
              <w:rPr>
                <w:rFonts w:ascii="Arial" w:hAnsi="Arial"/>
                <w:b w:val="0"/>
                <w:sz w:val="19"/>
              </w:rPr>
              <w:t>, which applies sign-in, central credentials and logging to every app.</w:t>
            </w:r>
          </w:p>
        </w:tc>
      </w:tr>
      <w:tr>
        <w:tc>
          <w:tcPr>
            <w:tcW w:type="dxa" w:w="2381"/>
          </w:tcPr>
          <w:p>
            <w:pPr>
              <w:spacing w:after="40"/>
            </w:pPr>
            <w:r/>
            <w:r>
              <w:rPr>
                <w:rFonts w:ascii="Arial" w:hAnsi="Arial"/>
                <w:b/>
                <w:sz w:val="19"/>
              </w:rPr>
              <w:t>Sensitive data</w:t>
            </w:r>
          </w:p>
        </w:tc>
        <w:tc>
          <w:tcPr>
            <w:tcW w:type="dxa" w:w="7030"/>
          </w:tcPr>
          <w:p>
            <w:pPr>
              <w:spacing w:after="40"/>
            </w:pPr>
            <w:r/>
            <w:r>
              <w:rPr>
                <w:rFonts w:ascii="Arial" w:hAnsi="Arial"/>
                <w:b w:val="0"/>
                <w:color w:val="4D7C0F"/>
                <w:sz w:val="19"/>
              </w:rPr>
              <w:t>[Customer data, personal data, financial records, credentials and anything classified Confidential or above]</w:t>
            </w:r>
            <w:r>
              <w:rPr>
                <w:rFonts w:ascii="Arial" w:hAnsi="Arial"/>
                <w:b w:val="0"/>
                <w:sz w:val="19"/>
              </w:rPr>
              <w:t>.</w:t>
            </w:r>
          </w:p>
        </w:tc>
      </w:tr>
      <w:tr>
        <w:tc>
          <w:tcPr>
            <w:tcW w:type="dxa" w:w="2381"/>
          </w:tcPr>
          <w:p>
            <w:pPr>
              <w:spacing w:after="40"/>
            </w:pPr>
            <w:r/>
            <w:r>
              <w:rPr>
                <w:rFonts w:ascii="Arial" w:hAnsi="Arial"/>
                <w:b/>
                <w:sz w:val="19"/>
              </w:rPr>
              <w:t>System of record</w:t>
            </w:r>
          </w:p>
        </w:tc>
        <w:tc>
          <w:tcPr>
            <w:tcW w:type="dxa" w:w="7030"/>
          </w:tcPr>
          <w:p>
            <w:pPr>
              <w:spacing w:after="40"/>
            </w:pPr>
            <w:r/>
            <w:r>
              <w:rPr>
                <w:rFonts w:ascii="Arial" w:hAnsi="Arial"/>
                <w:b w:val="0"/>
                <w:color w:val="4D7C0F"/>
                <w:sz w:val="19"/>
              </w:rPr>
              <w:t>[A system that holds the authoritative copy of business data, such as the CRM, finance, HR or billing system]</w:t>
            </w:r>
            <w:r>
              <w:rPr>
                <w:rFonts w:ascii="Arial" w:hAnsi="Arial"/>
                <w:b w:val="0"/>
                <w:sz w:val="19"/>
              </w:rPr>
              <w:t>.</w:t>
            </w:r>
          </w:p>
        </w:tc>
      </w:tr>
    </w:tbl>
    <w:p/>
    <w:p>
      <w:pPr>
        <w:pStyle w:val="Heading1"/>
      </w:pPr>
      <w:r>
        <w:t>4. Roles and responsibilities</w:t>
      </w:r>
    </w:p>
    <w:tbl>
      <w:tblPr>
        <w:tblStyle w:val="TableGrid"/>
        <w:tblW w:type="auto" w:w="0"/>
        <w:jc w:val="left"/>
        <w:tblLayout w:type="fixed"/>
        <w:tblLook w:firstColumn="1" w:firstRow="1" w:lastColumn="0" w:lastRow="0" w:noHBand="0" w:noVBand="1" w:val="04A0"/>
        <w:tblLayout w:type="fixed"/>
      </w:tblPr>
      <w:tblGrid>
        <w:gridCol w:w="2041"/>
        <w:gridCol w:w="7370"/>
      </w:tblGrid>
      <w:tr>
        <w:trPr>
          <w:tblHeader w:val="true"/>
        </w:trPr>
        <w:tc>
          <w:tcPr>
            <w:tcW w:type="dxa" w:w="2041"/>
            <w:shd w:val="clear" w:color="auto" w:fill="ADEE23"/>
          </w:tcPr>
          <w:p>
            <w:r/>
            <w:r>
              <w:rPr>
                <w:rFonts w:ascii="Arial" w:hAnsi="Arial"/>
                <w:b/>
                <w:sz w:val="19"/>
              </w:rPr>
              <w:t>Role</w:t>
            </w:r>
          </w:p>
        </w:tc>
        <w:tc>
          <w:tcPr>
            <w:tcW w:type="dxa" w:w="7370"/>
            <w:shd w:val="clear" w:color="auto" w:fill="ADEE23"/>
          </w:tcPr>
          <w:p>
            <w:r/>
            <w:r>
              <w:rPr>
                <w:rFonts w:ascii="Arial" w:hAnsi="Arial"/>
                <w:b/>
                <w:sz w:val="19"/>
              </w:rPr>
              <w:t>Responsibilities</w:t>
            </w:r>
          </w:p>
        </w:tc>
      </w:tr>
      <w:tr>
        <w:tc>
          <w:tcPr>
            <w:tcW w:type="dxa" w:w="2041"/>
          </w:tcPr>
          <w:p>
            <w:pPr>
              <w:spacing w:after="40"/>
            </w:pPr>
            <w:r/>
            <w:r>
              <w:rPr>
                <w:rFonts w:ascii="Arial" w:hAnsi="Arial"/>
                <w:b/>
                <w:sz w:val="19"/>
              </w:rPr>
              <w:t>Builder</w:t>
            </w:r>
          </w:p>
        </w:tc>
        <w:tc>
          <w:tcPr>
            <w:tcW w:type="dxa" w:w="7370"/>
          </w:tcPr>
          <w:p>
            <w:pPr>
              <w:spacing w:after="40"/>
            </w:pPr>
            <w:r/>
            <w:r>
              <w:rPr>
                <w:rFonts w:ascii="Arial" w:hAnsi="Arial"/>
                <w:b w:val="0"/>
                <w:sz w:val="19"/>
              </w:rPr>
              <w:t>Builds the app and meets guidelines 1 to 12.</w:t>
            </w:r>
          </w:p>
        </w:tc>
      </w:tr>
      <w:tr>
        <w:tc>
          <w:tcPr>
            <w:tcW w:type="dxa" w:w="2041"/>
          </w:tcPr>
          <w:p>
            <w:pPr>
              <w:spacing w:after="40"/>
            </w:pPr>
            <w:r/>
            <w:r>
              <w:rPr>
                <w:rFonts w:ascii="Arial" w:hAnsi="Arial"/>
                <w:b/>
                <w:sz w:val="19"/>
              </w:rPr>
              <w:t>App owner</w:t>
            </w:r>
          </w:p>
        </w:tc>
        <w:tc>
          <w:tcPr>
            <w:tcW w:type="dxa" w:w="7370"/>
          </w:tcPr>
          <w:p>
            <w:pPr>
              <w:spacing w:after="40"/>
            </w:pPr>
            <w:r/>
            <w:r>
              <w:rPr>
                <w:rFonts w:ascii="Arial" w:hAnsi="Arial"/>
                <w:b w:val="0"/>
                <w:sz w:val="19"/>
              </w:rPr>
              <w:t>Accountable for the app in production. Keeps its record current, approves access, and arranges handover and retirement. Often the builder.</w:t>
            </w:r>
          </w:p>
        </w:tc>
      </w:tr>
      <w:tr>
        <w:tc>
          <w:tcPr>
            <w:tcW w:type="dxa" w:w="2041"/>
          </w:tcPr>
          <w:p>
            <w:pPr>
              <w:spacing w:after="40"/>
            </w:pPr>
            <w:r/>
            <w:r>
              <w:rPr>
                <w:rFonts w:ascii="Arial" w:hAnsi="Arial"/>
                <w:b/>
                <w:sz w:val="19"/>
              </w:rPr>
              <w:t>IT and platform</w:t>
            </w:r>
          </w:p>
        </w:tc>
        <w:tc>
          <w:tcPr>
            <w:tcW w:type="dxa" w:w="7370"/>
          </w:tcPr>
          <w:p>
            <w:pPr>
              <w:spacing w:after="40"/>
            </w:pPr>
            <w:r/>
            <w:r>
              <w:rPr>
                <w:rFonts w:ascii="Arial" w:hAnsi="Arial"/>
                <w:b w:val="0"/>
                <w:sz w:val="19"/>
              </w:rPr>
              <w:t>Provides the approved assistants, the approved way to ship, sign-in, credential storage, logging and the inventory. Meets guidelines 13 to 24.</w:t>
            </w:r>
          </w:p>
        </w:tc>
      </w:tr>
      <w:tr>
        <w:tc>
          <w:tcPr>
            <w:tcW w:type="dxa" w:w="2041"/>
          </w:tcPr>
          <w:p>
            <w:pPr>
              <w:spacing w:after="40"/>
            </w:pPr>
            <w:r/>
            <w:r>
              <w:rPr>
                <w:rFonts w:ascii="Arial" w:hAnsi="Arial"/>
                <w:b/>
                <w:sz w:val="19"/>
              </w:rPr>
              <w:t>Security</w:t>
            </w:r>
          </w:p>
        </w:tc>
        <w:tc>
          <w:tcPr>
            <w:tcW w:type="dxa" w:w="7370"/>
          </w:tcPr>
          <w:p>
            <w:pPr>
              <w:spacing w:after="40"/>
            </w:pPr>
            <w:r/>
            <w:r>
              <w:rPr>
                <w:rFonts w:ascii="Arial" w:hAnsi="Arial"/>
                <w:b w:val="0"/>
                <w:sz w:val="19"/>
              </w:rPr>
              <w:t>Sets the data rules, approves High-tier apps and exceptions, and runs secret scanning and access reviews.</w:t>
            </w:r>
          </w:p>
        </w:tc>
      </w:tr>
      <w:tr>
        <w:tc>
          <w:tcPr>
            <w:tcW w:type="dxa" w:w="2041"/>
          </w:tcPr>
          <w:p>
            <w:pPr>
              <w:spacing w:after="40"/>
            </w:pPr>
            <w:r/>
            <w:r>
              <w:rPr>
                <w:rFonts w:ascii="Arial" w:hAnsi="Arial"/>
                <w:b/>
                <w:sz w:val="19"/>
              </w:rPr>
              <w:t>Reviewer</w:t>
            </w:r>
          </w:p>
        </w:tc>
        <w:tc>
          <w:tcPr>
            <w:tcW w:type="dxa" w:w="7370"/>
          </w:tcPr>
          <w:p>
            <w:pPr>
              <w:spacing w:after="40"/>
            </w:pPr>
            <w:r/>
            <w:r>
              <w:rPr>
                <w:rFonts w:ascii="Arial" w:hAnsi="Arial"/>
                <w:b w:val="0"/>
                <w:sz w:val="19"/>
              </w:rPr>
              <w:t>A named person, independent of the builder, who carries out the pre-production review for High-tier apps.</w:t>
            </w:r>
          </w:p>
        </w:tc>
      </w:tr>
    </w:tbl>
    <w:p/>
    <w:tbl>
      <w:tblPr>
        <w:tblStyle w:val="TableGrid"/>
        <w:tblW w:type="auto" w:w="0"/>
        <w:jc w:val="left"/>
        <w:tblLayout w:type="fixed"/>
        <w:tblLook w:firstColumn="1" w:firstRow="1" w:lastColumn="0" w:lastRow="0" w:noHBand="0" w:noVBand="1" w:val="04A0"/>
        <w:tblLayout w:type="fixed"/>
      </w:tblPr>
      <w:tblGrid>
        <w:gridCol w:w="2268"/>
        <w:gridCol w:w="1247"/>
        <w:gridCol w:w="1701"/>
        <w:gridCol w:w="1474"/>
        <w:gridCol w:w="1361"/>
        <w:gridCol w:w="1361"/>
      </w:tblGrid>
      <w:tr>
        <w:trPr>
          <w:tblHeader w:val="true"/>
        </w:trPr>
        <w:tc>
          <w:tcPr>
            <w:tcW w:type="dxa" w:w="2268"/>
            <w:shd w:val="clear" w:color="auto" w:fill="ADEE23"/>
          </w:tcPr>
          <w:p>
            <w:r/>
            <w:r>
              <w:rPr>
                <w:rFonts w:ascii="Arial" w:hAnsi="Arial"/>
                <w:b/>
                <w:sz w:val="19"/>
              </w:rPr>
              <w:t>Activity</w:t>
            </w:r>
          </w:p>
        </w:tc>
        <w:tc>
          <w:tcPr>
            <w:tcW w:type="dxa" w:w="1247"/>
            <w:shd w:val="clear" w:color="auto" w:fill="ADEE23"/>
          </w:tcPr>
          <w:p>
            <w:r/>
            <w:r>
              <w:rPr>
                <w:rFonts w:ascii="Arial" w:hAnsi="Arial"/>
                <w:b/>
                <w:sz w:val="19"/>
              </w:rPr>
              <w:t>Builder</w:t>
            </w:r>
          </w:p>
        </w:tc>
        <w:tc>
          <w:tcPr>
            <w:tcW w:type="dxa" w:w="1701"/>
            <w:shd w:val="clear" w:color="auto" w:fill="ADEE23"/>
          </w:tcPr>
          <w:p>
            <w:r/>
            <w:r>
              <w:rPr>
                <w:rFonts w:ascii="Arial" w:hAnsi="Arial"/>
                <w:b/>
                <w:sz w:val="19"/>
              </w:rPr>
              <w:t>App owner</w:t>
            </w:r>
          </w:p>
        </w:tc>
        <w:tc>
          <w:tcPr>
            <w:tcW w:type="dxa" w:w="1474"/>
            <w:shd w:val="clear" w:color="auto" w:fill="ADEE23"/>
          </w:tcPr>
          <w:p>
            <w:r/>
            <w:r>
              <w:rPr>
                <w:rFonts w:ascii="Arial" w:hAnsi="Arial"/>
                <w:b/>
                <w:sz w:val="19"/>
              </w:rPr>
              <w:t>IT and platform</w:t>
            </w:r>
          </w:p>
        </w:tc>
        <w:tc>
          <w:tcPr>
            <w:tcW w:type="dxa" w:w="1361"/>
            <w:shd w:val="clear" w:color="auto" w:fill="ADEE23"/>
          </w:tcPr>
          <w:p>
            <w:r/>
            <w:r>
              <w:rPr>
                <w:rFonts w:ascii="Arial" w:hAnsi="Arial"/>
                <w:b/>
                <w:sz w:val="19"/>
              </w:rPr>
              <w:t>Security</w:t>
            </w:r>
          </w:p>
        </w:tc>
        <w:tc>
          <w:tcPr>
            <w:tcW w:type="dxa" w:w="1361"/>
            <w:shd w:val="clear" w:color="auto" w:fill="ADEE23"/>
          </w:tcPr>
          <w:p>
            <w:r/>
            <w:r>
              <w:rPr>
                <w:rFonts w:ascii="Arial" w:hAnsi="Arial"/>
                <w:b/>
                <w:sz w:val="19"/>
              </w:rPr>
              <w:t>Reviewer</w:t>
            </w:r>
          </w:p>
        </w:tc>
      </w:tr>
      <w:tr>
        <w:tc>
          <w:tcPr>
            <w:tcW w:type="dxa" w:w="2268"/>
          </w:tcPr>
          <w:p>
            <w:pPr>
              <w:spacing w:after="40"/>
            </w:pPr>
            <w:r/>
            <w:r>
              <w:rPr>
                <w:rFonts w:ascii="Arial" w:hAnsi="Arial"/>
                <w:b/>
                <w:sz w:val="19"/>
              </w:rPr>
              <w:t>Choose the tier</w:t>
            </w:r>
          </w:p>
        </w:tc>
        <w:tc>
          <w:tcPr>
            <w:tcW w:type="dxa" w:w="1247"/>
          </w:tcPr>
          <w:p>
            <w:pPr>
              <w:spacing w:after="40"/>
            </w:pPr>
            <w:r/>
            <w:r>
              <w:rPr>
                <w:rFonts w:ascii="Arial" w:hAnsi="Arial"/>
                <w:b w:val="0"/>
                <w:sz w:val="19"/>
              </w:rPr>
              <w:t>R</w:t>
            </w:r>
          </w:p>
        </w:tc>
        <w:tc>
          <w:tcPr>
            <w:tcW w:type="dxa" w:w="1701"/>
          </w:tcPr>
          <w:p>
            <w:pPr>
              <w:spacing w:after="40"/>
            </w:pPr>
            <w:r/>
            <w:r>
              <w:rPr>
                <w:rFonts w:ascii="Arial" w:hAnsi="Arial"/>
                <w:b w:val="0"/>
                <w:sz w:val="19"/>
              </w:rPr>
              <w:t>A</w:t>
            </w:r>
          </w:p>
        </w:tc>
        <w:tc>
          <w:tcPr>
            <w:tcW w:type="dxa" w:w="1474"/>
          </w:tcPr>
          <w:p>
            <w:pPr>
              <w:spacing w:after="40"/>
            </w:pPr>
            <w:r/>
            <w:r>
              <w:rPr>
                <w:rFonts w:ascii="Arial" w:hAnsi="Arial"/>
                <w:b w:val="0"/>
                <w:sz w:val="19"/>
              </w:rPr>
              <w:t>C</w:t>
            </w:r>
          </w:p>
        </w:tc>
        <w:tc>
          <w:tcPr>
            <w:tcW w:type="dxa" w:w="1361"/>
          </w:tcPr>
          <w:p>
            <w:pPr>
              <w:spacing w:after="40"/>
            </w:pPr>
            <w:r/>
            <w:r>
              <w:rPr>
                <w:rFonts w:ascii="Arial" w:hAnsi="Arial"/>
                <w:b w:val="0"/>
                <w:sz w:val="19"/>
              </w:rPr>
              <w:t>C</w:t>
            </w:r>
          </w:p>
        </w:tc>
        <w:tc>
          <w:tcPr>
            <w:tcW w:type="dxa" w:w="1361"/>
          </w:tcPr>
          <w:p>
            <w:pPr>
              <w:spacing w:after="40"/>
            </w:pPr>
            <w:r/>
          </w:p>
        </w:tc>
      </w:tr>
      <w:tr>
        <w:tc>
          <w:tcPr>
            <w:tcW w:type="dxa" w:w="2268"/>
          </w:tcPr>
          <w:p>
            <w:pPr>
              <w:spacing w:after="40"/>
            </w:pPr>
            <w:r/>
            <w:r>
              <w:rPr>
                <w:rFonts w:ascii="Arial" w:hAnsi="Arial"/>
                <w:b/>
                <w:sz w:val="19"/>
              </w:rPr>
              <w:t>Approve sharing</w:t>
            </w:r>
          </w:p>
        </w:tc>
        <w:tc>
          <w:tcPr>
            <w:tcW w:type="dxa" w:w="1247"/>
          </w:tcPr>
          <w:p>
            <w:pPr>
              <w:spacing w:after="40"/>
            </w:pPr>
            <w:r/>
            <w:r>
              <w:rPr>
                <w:rFonts w:ascii="Arial" w:hAnsi="Arial"/>
                <w:b w:val="0"/>
                <w:sz w:val="19"/>
              </w:rPr>
              <w:t>R</w:t>
            </w:r>
          </w:p>
        </w:tc>
        <w:tc>
          <w:tcPr>
            <w:tcW w:type="dxa" w:w="1701"/>
          </w:tcPr>
          <w:p>
            <w:pPr>
              <w:spacing w:after="40"/>
            </w:pPr>
            <w:r/>
            <w:r>
              <w:rPr>
                <w:rFonts w:ascii="Arial" w:hAnsi="Arial"/>
                <w:b w:val="0"/>
                <w:sz w:val="19"/>
              </w:rPr>
              <w:t>A (Low, Medium)</w:t>
            </w:r>
          </w:p>
        </w:tc>
        <w:tc>
          <w:tcPr>
            <w:tcW w:type="dxa" w:w="1474"/>
          </w:tcPr>
          <w:p>
            <w:pPr>
              <w:spacing w:after="40"/>
            </w:pPr>
            <w:r/>
            <w:r>
              <w:rPr>
                <w:rFonts w:ascii="Arial" w:hAnsi="Arial"/>
                <w:b w:val="0"/>
                <w:sz w:val="19"/>
              </w:rPr>
              <w:t>I</w:t>
            </w:r>
          </w:p>
        </w:tc>
        <w:tc>
          <w:tcPr>
            <w:tcW w:type="dxa" w:w="1361"/>
          </w:tcPr>
          <w:p>
            <w:pPr>
              <w:spacing w:after="40"/>
            </w:pPr>
            <w:r/>
            <w:r>
              <w:rPr>
                <w:rFonts w:ascii="Arial" w:hAnsi="Arial"/>
                <w:b w:val="0"/>
                <w:sz w:val="19"/>
              </w:rPr>
              <w:t>A (High)</w:t>
            </w:r>
          </w:p>
        </w:tc>
        <w:tc>
          <w:tcPr>
            <w:tcW w:type="dxa" w:w="1361"/>
          </w:tcPr>
          <w:p>
            <w:pPr>
              <w:spacing w:after="40"/>
            </w:pPr>
            <w:r/>
            <w:r>
              <w:rPr>
                <w:rFonts w:ascii="Arial" w:hAnsi="Arial"/>
                <w:b w:val="0"/>
                <w:sz w:val="19"/>
              </w:rPr>
              <w:t>C</w:t>
            </w:r>
          </w:p>
        </w:tc>
      </w:tr>
      <w:tr>
        <w:tc>
          <w:tcPr>
            <w:tcW w:type="dxa" w:w="2268"/>
          </w:tcPr>
          <w:p>
            <w:pPr>
              <w:spacing w:after="40"/>
            </w:pPr>
            <w:r/>
            <w:r>
              <w:rPr>
                <w:rFonts w:ascii="Arial" w:hAnsi="Arial"/>
                <w:b/>
                <w:sz w:val="19"/>
              </w:rPr>
              <w:t>Grant access</w:t>
            </w:r>
          </w:p>
        </w:tc>
        <w:tc>
          <w:tcPr>
            <w:tcW w:type="dxa" w:w="1247"/>
          </w:tcPr>
          <w:p>
            <w:pPr>
              <w:spacing w:after="40"/>
            </w:pPr>
            <w:r/>
            <w:r>
              <w:rPr>
                <w:rFonts w:ascii="Arial" w:hAnsi="Arial"/>
                <w:b w:val="0"/>
                <w:sz w:val="19"/>
              </w:rPr>
              <w:t>I</w:t>
            </w:r>
          </w:p>
        </w:tc>
        <w:tc>
          <w:tcPr>
            <w:tcW w:type="dxa" w:w="1701"/>
          </w:tcPr>
          <w:p>
            <w:pPr>
              <w:spacing w:after="40"/>
            </w:pPr>
            <w:r/>
            <w:r>
              <w:rPr>
                <w:rFonts w:ascii="Arial" w:hAnsi="Arial"/>
                <w:b w:val="0"/>
                <w:sz w:val="19"/>
              </w:rPr>
              <w:t>A</w:t>
            </w:r>
          </w:p>
        </w:tc>
        <w:tc>
          <w:tcPr>
            <w:tcW w:type="dxa" w:w="1474"/>
          </w:tcPr>
          <w:p>
            <w:pPr>
              <w:spacing w:after="40"/>
            </w:pPr>
            <w:r/>
            <w:r>
              <w:rPr>
                <w:rFonts w:ascii="Arial" w:hAnsi="Arial"/>
                <w:b w:val="0"/>
                <w:sz w:val="19"/>
              </w:rPr>
              <w:t>R</w:t>
            </w:r>
          </w:p>
        </w:tc>
        <w:tc>
          <w:tcPr>
            <w:tcW w:type="dxa" w:w="1361"/>
          </w:tcPr>
          <w:p>
            <w:pPr>
              <w:spacing w:after="40"/>
            </w:pPr>
            <w:r/>
            <w:r>
              <w:rPr>
                <w:rFonts w:ascii="Arial" w:hAnsi="Arial"/>
                <w:b w:val="0"/>
                <w:sz w:val="19"/>
              </w:rPr>
              <w:t>I</w:t>
            </w:r>
          </w:p>
        </w:tc>
        <w:tc>
          <w:tcPr>
            <w:tcW w:type="dxa" w:w="1361"/>
          </w:tcPr>
          <w:p>
            <w:pPr>
              <w:spacing w:after="40"/>
            </w:pPr>
            <w:r/>
          </w:p>
        </w:tc>
      </w:tr>
      <w:tr>
        <w:tc>
          <w:tcPr>
            <w:tcW w:type="dxa" w:w="2268"/>
          </w:tcPr>
          <w:p>
            <w:pPr>
              <w:spacing w:after="40"/>
            </w:pPr>
            <w:r/>
            <w:r>
              <w:rPr>
                <w:rFonts w:ascii="Arial" w:hAnsi="Arial"/>
                <w:b/>
                <w:sz w:val="19"/>
              </w:rPr>
              <w:t>Hold credentials</w:t>
            </w:r>
          </w:p>
        </w:tc>
        <w:tc>
          <w:tcPr>
            <w:tcW w:type="dxa" w:w="1247"/>
          </w:tcPr>
          <w:p>
            <w:pPr>
              <w:spacing w:after="40"/>
            </w:pPr>
            <w:r/>
          </w:p>
        </w:tc>
        <w:tc>
          <w:tcPr>
            <w:tcW w:type="dxa" w:w="1701"/>
          </w:tcPr>
          <w:p>
            <w:pPr>
              <w:spacing w:after="40"/>
            </w:pPr>
            <w:r/>
            <w:r>
              <w:rPr>
                <w:rFonts w:ascii="Arial" w:hAnsi="Arial"/>
                <w:b w:val="0"/>
                <w:sz w:val="19"/>
              </w:rPr>
              <w:t>I</w:t>
            </w:r>
          </w:p>
        </w:tc>
        <w:tc>
          <w:tcPr>
            <w:tcW w:type="dxa" w:w="1474"/>
          </w:tcPr>
          <w:p>
            <w:pPr>
              <w:spacing w:after="40"/>
            </w:pPr>
            <w:r/>
            <w:r>
              <w:rPr>
                <w:rFonts w:ascii="Arial" w:hAnsi="Arial"/>
                <w:b w:val="0"/>
                <w:sz w:val="19"/>
              </w:rPr>
              <w:t>R, A</w:t>
            </w:r>
          </w:p>
        </w:tc>
        <w:tc>
          <w:tcPr>
            <w:tcW w:type="dxa" w:w="1361"/>
          </w:tcPr>
          <w:p>
            <w:pPr>
              <w:spacing w:after="40"/>
            </w:pPr>
            <w:r/>
            <w:r>
              <w:rPr>
                <w:rFonts w:ascii="Arial" w:hAnsi="Arial"/>
                <w:b w:val="0"/>
                <w:sz w:val="19"/>
              </w:rPr>
              <w:t>C</w:t>
            </w:r>
          </w:p>
        </w:tc>
        <w:tc>
          <w:tcPr>
            <w:tcW w:type="dxa" w:w="1361"/>
          </w:tcPr>
          <w:p>
            <w:pPr>
              <w:spacing w:after="40"/>
            </w:pPr>
            <w:r/>
          </w:p>
        </w:tc>
      </w:tr>
      <w:tr>
        <w:tc>
          <w:tcPr>
            <w:tcW w:type="dxa" w:w="2268"/>
          </w:tcPr>
          <w:p>
            <w:pPr>
              <w:spacing w:after="40"/>
            </w:pPr>
            <w:r/>
            <w:r>
              <w:rPr>
                <w:rFonts w:ascii="Arial" w:hAnsi="Arial"/>
                <w:b/>
                <w:sz w:val="19"/>
              </w:rPr>
              <w:t>Pre-production review</w:t>
            </w:r>
          </w:p>
        </w:tc>
        <w:tc>
          <w:tcPr>
            <w:tcW w:type="dxa" w:w="1247"/>
          </w:tcPr>
          <w:p>
            <w:pPr>
              <w:spacing w:after="40"/>
            </w:pPr>
            <w:r/>
            <w:r>
              <w:rPr>
                <w:rFonts w:ascii="Arial" w:hAnsi="Arial"/>
                <w:b w:val="0"/>
                <w:sz w:val="19"/>
              </w:rPr>
              <w:t>C</w:t>
            </w:r>
          </w:p>
        </w:tc>
        <w:tc>
          <w:tcPr>
            <w:tcW w:type="dxa" w:w="1701"/>
          </w:tcPr>
          <w:p>
            <w:pPr>
              <w:spacing w:after="40"/>
            </w:pPr>
            <w:r/>
            <w:r>
              <w:rPr>
                <w:rFonts w:ascii="Arial" w:hAnsi="Arial"/>
                <w:b w:val="0"/>
                <w:sz w:val="19"/>
              </w:rPr>
              <w:t>R</w:t>
            </w:r>
          </w:p>
        </w:tc>
        <w:tc>
          <w:tcPr>
            <w:tcW w:type="dxa" w:w="1474"/>
          </w:tcPr>
          <w:p>
            <w:pPr>
              <w:spacing w:after="40"/>
            </w:pPr>
            <w:r/>
            <w:r>
              <w:rPr>
                <w:rFonts w:ascii="Arial" w:hAnsi="Arial"/>
                <w:b w:val="0"/>
                <w:sz w:val="19"/>
              </w:rPr>
              <w:t>C</w:t>
            </w:r>
          </w:p>
        </w:tc>
        <w:tc>
          <w:tcPr>
            <w:tcW w:type="dxa" w:w="1361"/>
          </w:tcPr>
          <w:p>
            <w:pPr>
              <w:spacing w:after="40"/>
            </w:pPr>
            <w:r/>
            <w:r>
              <w:rPr>
                <w:rFonts w:ascii="Arial" w:hAnsi="Arial"/>
                <w:b w:val="0"/>
                <w:sz w:val="19"/>
              </w:rPr>
              <w:t>A</w:t>
            </w:r>
          </w:p>
        </w:tc>
        <w:tc>
          <w:tcPr>
            <w:tcW w:type="dxa" w:w="1361"/>
          </w:tcPr>
          <w:p>
            <w:pPr>
              <w:spacing w:after="40"/>
            </w:pPr>
            <w:r/>
            <w:r>
              <w:rPr>
                <w:rFonts w:ascii="Arial" w:hAnsi="Arial"/>
                <w:b w:val="0"/>
                <w:sz w:val="19"/>
              </w:rPr>
              <w:t>R</w:t>
            </w:r>
          </w:p>
        </w:tc>
      </w:tr>
      <w:tr>
        <w:tc>
          <w:tcPr>
            <w:tcW w:type="dxa" w:w="2268"/>
          </w:tcPr>
          <w:p>
            <w:pPr>
              <w:spacing w:after="40"/>
            </w:pPr>
            <w:r/>
            <w:r>
              <w:rPr>
                <w:rFonts w:ascii="Arial" w:hAnsi="Arial"/>
                <w:b/>
                <w:sz w:val="19"/>
              </w:rPr>
              <w:t>Retire an app</w:t>
            </w:r>
          </w:p>
        </w:tc>
        <w:tc>
          <w:tcPr>
            <w:tcW w:type="dxa" w:w="1247"/>
          </w:tcPr>
          <w:p>
            <w:pPr>
              <w:spacing w:after="40"/>
            </w:pPr>
            <w:r/>
            <w:r>
              <w:rPr>
                <w:rFonts w:ascii="Arial" w:hAnsi="Arial"/>
                <w:b w:val="0"/>
                <w:sz w:val="19"/>
              </w:rPr>
              <w:t>I</w:t>
            </w:r>
          </w:p>
        </w:tc>
        <w:tc>
          <w:tcPr>
            <w:tcW w:type="dxa" w:w="1701"/>
          </w:tcPr>
          <w:p>
            <w:pPr>
              <w:spacing w:after="40"/>
            </w:pPr>
            <w:r/>
            <w:r>
              <w:rPr>
                <w:rFonts w:ascii="Arial" w:hAnsi="Arial"/>
                <w:b w:val="0"/>
                <w:sz w:val="19"/>
              </w:rPr>
              <w:t>R, A</w:t>
            </w:r>
          </w:p>
        </w:tc>
        <w:tc>
          <w:tcPr>
            <w:tcW w:type="dxa" w:w="1474"/>
          </w:tcPr>
          <w:p>
            <w:pPr>
              <w:spacing w:after="40"/>
            </w:pPr>
            <w:r/>
            <w:r>
              <w:rPr>
                <w:rFonts w:ascii="Arial" w:hAnsi="Arial"/>
                <w:b w:val="0"/>
                <w:sz w:val="19"/>
              </w:rPr>
              <w:t>R</w:t>
            </w:r>
          </w:p>
        </w:tc>
        <w:tc>
          <w:tcPr>
            <w:tcW w:type="dxa" w:w="1361"/>
          </w:tcPr>
          <w:p>
            <w:pPr>
              <w:spacing w:after="40"/>
            </w:pPr>
            <w:r/>
            <w:r>
              <w:rPr>
                <w:rFonts w:ascii="Arial" w:hAnsi="Arial"/>
                <w:b w:val="0"/>
                <w:sz w:val="19"/>
              </w:rPr>
              <w:t>I</w:t>
            </w:r>
          </w:p>
        </w:tc>
        <w:tc>
          <w:tcPr>
            <w:tcW w:type="dxa" w:w="1361"/>
          </w:tcPr>
          <w:p>
            <w:pPr>
              <w:spacing w:after="40"/>
            </w:pPr>
            <w:r/>
          </w:p>
        </w:tc>
      </w:tr>
    </w:tbl>
    <w:p/>
    <w:p>
      <w:r>
        <w:rPr>
          <w:rFonts w:ascii="Arial" w:hAnsi="Arial"/>
          <w:b w:val="0"/>
          <w:color w:val="6E767E"/>
        </w:rPr>
        <w:t>R: does the work. A: accountable, one per activity and tier. C: consulted. I: informed.</w:t>
      </w:r>
    </w:p>
    <w:p>
      <w:pPr>
        <w:pStyle w:val="Heading1"/>
      </w:pPr>
      <w:r>
        <w:t>5. The standard</w:t>
      </w:r>
    </w:p>
    <w:p>
      <w:r>
        <w:rPr>
          <w:rFonts w:ascii="Arial" w:hAnsi="Arial"/>
          <w:b w:val="0"/>
        </w:rPr>
        <w:t>In this section, MUST and MUST NOT are requirements. SHOULD is expected practice; skip it only with a reason recorded in the app’s record.</w:t>
      </w:r>
    </w:p>
    <w:p>
      <w:pPr>
        <w:pStyle w:val="Heading2"/>
      </w:pPr>
      <w:r>
        <w:t>5.1 For builders</w:t>
      </w:r>
    </w:p>
    <w:p>
      <w:r>
        <w:rPr>
          <w:rFonts w:ascii="Arial" w:hAnsi="Arial"/>
          <w:b w:val="0"/>
          <w:color w:val="6E767E"/>
        </w:rPr>
        <w:t>These apply to anyone who builds with an AI assistant.</w:t>
      </w:r>
    </w:p>
    <w:p>
      <w:pPr>
        <w:pStyle w:val="Heading3"/>
      </w:pPr>
      <w:r>
        <w:t>Guideline 1: Use an approved assistant</w:t>
      </w:r>
    </w:p>
    <w:p>
      <w:pPr>
        <w:spacing w:after="40"/>
      </w:pPr>
      <w:r>
        <w:rPr>
          <w:rFonts w:ascii="Arial" w:hAnsi="Arial"/>
          <w:b w:val="0"/>
        </w:rPr>
        <w:t xml:space="preserve">Builders MUST use only the AI assistants on </w:t>
      </w:r>
      <w:r>
        <w:rPr>
          <w:rFonts w:ascii="Arial" w:hAnsi="Arial"/>
          <w:b w:val="0"/>
          <w:color w:val="4D7C0F"/>
        </w:rPr>
        <w:t>[the approved list]</w:t>
      </w:r>
      <w:r>
        <w:rPr>
          <w:rFonts w:ascii="Arial" w:hAnsi="Arial"/>
          <w:b w:val="0"/>
        </w:rPr>
        <w:t xml:space="preserve"> for work that involves company code, data or systems.</w:t>
      </w:r>
    </w:p>
    <w:p>
      <w:r>
        <w:rPr>
          <w:rFonts w:ascii="Arial" w:hAnsi="Arial"/>
          <w:b/>
          <w:color w:val="6E767E"/>
        </w:rPr>
        <w:t xml:space="preserve">Why: </w:t>
      </w:r>
      <w:r>
        <w:rPr>
          <w:rFonts w:ascii="Arial" w:hAnsi="Arial"/>
          <w:b w:val="0"/>
          <w:color w:val="6E767E"/>
        </w:rPr>
        <w:t>Their terms cover company data, and security has checked them.</w:t>
      </w:r>
    </w:p>
    <w:p>
      <w:pPr>
        <w:pStyle w:val="Heading3"/>
      </w:pPr>
      <w:r>
        <w:t>Guideline 2: Know what you can put in a prompt</w:t>
      </w:r>
    </w:p>
    <w:p>
      <w:pPr>
        <w:spacing w:after="40"/>
      </w:pPr>
      <w:r>
        <w:rPr>
          <w:rFonts w:ascii="Arial" w:hAnsi="Arial"/>
          <w:b w:val="0"/>
        </w:rPr>
        <w:t>Builders MUST NOT put customer data, personal data, credentials or confidential material into a prompt unless the assistant is approved for that class of data.</w:t>
      </w:r>
    </w:p>
    <w:p>
      <w:r>
        <w:rPr>
          <w:rFonts w:ascii="Arial" w:hAnsi="Arial"/>
          <w:b/>
          <w:color w:val="6E767E"/>
        </w:rPr>
        <w:t xml:space="preserve">Why: </w:t>
      </w:r>
      <w:r>
        <w:rPr>
          <w:rFonts w:ascii="Arial" w:hAnsi="Arial"/>
          <w:b w:val="0"/>
          <w:color w:val="6E767E"/>
        </w:rPr>
        <w:t>Prompts can be stored and read outside the company.</w:t>
      </w:r>
    </w:p>
    <w:p>
      <w:pPr>
        <w:pStyle w:val="Heading3"/>
      </w:pPr>
      <w:r>
        <w:t>Guideline 3: Write down who it’s for and what it touches</w:t>
      </w:r>
    </w:p>
    <w:p>
      <w:pPr>
        <w:spacing w:after="40"/>
      </w:pPr>
      <w:r>
        <w:rPr>
          <w:rFonts w:ascii="Arial" w:hAnsi="Arial"/>
          <w:b w:val="0"/>
        </w:rPr>
        <w:t>Before building, builders SHOULD record who will use the app and which systems and data it reads or changes.</w:t>
      </w:r>
    </w:p>
    <w:p>
      <w:r>
        <w:rPr>
          <w:rFonts w:ascii="Arial" w:hAnsi="Arial"/>
          <w:b/>
          <w:color w:val="6E767E"/>
        </w:rPr>
        <w:t xml:space="preserve">Why: </w:t>
      </w:r>
      <w:r>
        <w:rPr>
          <w:rFonts w:ascii="Arial" w:hAnsi="Arial"/>
          <w:b w:val="0"/>
          <w:color w:val="6E767E"/>
        </w:rPr>
        <w:t>That note sets the app’s tier and becomes the start of its record.</w:t>
      </w:r>
    </w:p>
    <w:p>
      <w:pPr>
        <w:pStyle w:val="Heading3"/>
      </w:pPr>
      <w:r>
        <w:t>Guideline 4: Keep secrets out of everything you write</w:t>
      </w:r>
    </w:p>
    <w:p>
      <w:pPr>
        <w:spacing w:after="40"/>
      </w:pPr>
      <w:r>
        <w:rPr>
          <w:rFonts w:ascii="Arial" w:hAnsi="Arial"/>
          <w:b w:val="0"/>
        </w:rPr>
        <w:t>Builders MUST NOT put API keys, tokens or passwords in prompts, code, config files, chat or repositories. A secret that has been in any of those places MUST be reported and rotated.</w:t>
      </w:r>
    </w:p>
    <w:p>
      <w:r>
        <w:rPr>
          <w:rFonts w:ascii="Arial" w:hAnsi="Arial"/>
          <w:b/>
          <w:color w:val="6E767E"/>
        </w:rPr>
        <w:t xml:space="preserve">Why: </w:t>
      </w:r>
      <w:r>
        <w:rPr>
          <w:rFonts w:ascii="Arial" w:hAnsi="Arial"/>
          <w:b w:val="0"/>
          <w:color w:val="6E767E"/>
        </w:rPr>
        <w:t>Deleting the line doesn’t remove the copies.</w:t>
      </w:r>
    </w:p>
    <w:p>
      <w:pPr>
        <w:pStyle w:val="Heading3"/>
      </w:pPr>
      <w:r>
        <w:t>Guideline 5: Connect the approved way, with the least access that works</w:t>
      </w:r>
    </w:p>
    <w:p>
      <w:pPr>
        <w:spacing w:after="40"/>
      </w:pPr>
      <w:r>
        <w:rPr>
          <w:rFonts w:ascii="Arial" w:hAnsi="Arial"/>
          <w:b w:val="0"/>
        </w:rPr>
        <w:t xml:space="preserve">Apps MUST connect to company systems through </w:t>
      </w:r>
      <w:r>
        <w:rPr>
          <w:rFonts w:ascii="Arial" w:hAnsi="Arial"/>
          <w:b w:val="0"/>
          <w:color w:val="4D7C0F"/>
        </w:rPr>
        <w:t>[the approved connection method]</w:t>
      </w:r>
      <w:r>
        <w:rPr>
          <w:rFonts w:ascii="Arial" w:hAnsi="Arial"/>
          <w:b w:val="0"/>
        </w:rPr>
        <w:t>. Builders SHOULD ask for read-only access first, and write access only when the app needs it.</w:t>
      </w:r>
    </w:p>
    <w:p>
      <w:r>
        <w:rPr>
          <w:rFonts w:ascii="Arial" w:hAnsi="Arial"/>
          <w:b/>
          <w:color w:val="6E767E"/>
        </w:rPr>
        <w:t xml:space="preserve">Why: </w:t>
      </w:r>
      <w:r>
        <w:rPr>
          <w:rFonts w:ascii="Arial" w:hAnsi="Arial"/>
          <w:b w:val="0"/>
          <w:color w:val="6E767E"/>
        </w:rPr>
        <w:t>Credentials stay with IT, and a mistake can only do what the access allows.</w:t>
      </w:r>
    </w:p>
    <w:p>
      <w:pPr>
        <w:pStyle w:val="Heading3"/>
      </w:pPr>
      <w:r>
        <w:t>Guideline 6: Build in small steps</w:t>
      </w:r>
    </w:p>
    <w:p>
      <w:pPr>
        <w:spacing w:after="40"/>
      </w:pPr>
      <w:r>
        <w:rPr>
          <w:rFonts w:ascii="Arial" w:hAnsi="Arial"/>
          <w:b w:val="0"/>
        </w:rPr>
        <w:t>Builders MUST keep the code in version control and MUST check each commit for secrets before pushing it. They SHOULD build and test one change at a time.</w:t>
      </w:r>
    </w:p>
    <w:p>
      <w:r>
        <w:rPr>
          <w:rFonts w:ascii="Arial" w:hAnsi="Arial"/>
          <w:b/>
          <w:color w:val="6E767E"/>
        </w:rPr>
        <w:t xml:space="preserve">Why: </w:t>
      </w:r>
      <w:r>
        <w:rPr>
          <w:rFonts w:ascii="Arial" w:hAnsi="Arial"/>
          <w:b w:val="0"/>
          <w:color w:val="6E767E"/>
        </w:rPr>
        <w:t>Small steps make a fault easy to find and undo.</w:t>
      </w:r>
    </w:p>
    <w:p>
      <w:pPr>
        <w:pStyle w:val="Heading3"/>
      </w:pPr>
      <w:r>
        <w:t>Guideline 7: Read what the assistant writes</w:t>
      </w:r>
    </w:p>
    <w:p>
      <w:pPr>
        <w:spacing w:after="40"/>
      </w:pPr>
      <w:r>
        <w:rPr>
          <w:rFonts w:ascii="Arial" w:hAnsi="Arial"/>
          <w:b w:val="0"/>
        </w:rPr>
        <w:t>Builders MUST review each change before accepting it, and MUST question any new dependency or any code that sends data outside the company.</w:t>
      </w:r>
    </w:p>
    <w:p>
      <w:r>
        <w:rPr>
          <w:rFonts w:ascii="Arial" w:hAnsi="Arial"/>
          <w:b/>
          <w:color w:val="6E767E"/>
        </w:rPr>
        <w:t xml:space="preserve">Why: </w:t>
      </w:r>
      <w:r>
        <w:rPr>
          <w:rFonts w:ascii="Arial" w:hAnsi="Arial"/>
          <w:b w:val="0"/>
          <w:color w:val="6E767E"/>
        </w:rPr>
        <w:t>The builder answers for the code, whoever typed it.</w:t>
      </w:r>
    </w:p>
    <w:p>
      <w:pPr>
        <w:pStyle w:val="Heading3"/>
      </w:pPr>
      <w:r>
        <w:t>Guideline 8: Test with sample data and check inputs</w:t>
      </w:r>
    </w:p>
    <w:p>
      <w:pPr>
        <w:spacing w:after="40"/>
      </w:pPr>
      <w:r>
        <w:rPr>
          <w:rFonts w:ascii="Arial" w:hAnsi="Arial"/>
          <w:b w:val="0"/>
        </w:rPr>
        <w:t>Apps MUST be tested on sample or test data before they use real data, and MUST check what users type or upload before acting on it.</w:t>
      </w:r>
    </w:p>
    <w:p>
      <w:r>
        <w:rPr>
          <w:rFonts w:ascii="Arial" w:hAnsi="Arial"/>
          <w:b/>
          <w:color w:val="6E767E"/>
        </w:rPr>
        <w:t xml:space="preserve">Why: </w:t>
      </w:r>
      <w:r>
        <w:rPr>
          <w:rFonts w:ascii="Arial" w:hAnsi="Arial"/>
          <w:b w:val="0"/>
          <w:color w:val="6E767E"/>
        </w:rPr>
        <w:t>Testing on live data puts that data at risk.</w:t>
      </w:r>
    </w:p>
    <w:p>
      <w:pPr>
        <w:pStyle w:val="Heading3"/>
      </w:pPr>
      <w:r>
        <w:t>Guideline 9: Put sign-in in front of anything you share</w:t>
      </w:r>
    </w:p>
    <w:p>
      <w:pPr>
        <w:spacing w:after="40"/>
      </w:pPr>
      <w:r>
        <w:rPr>
          <w:rFonts w:ascii="Arial" w:hAnsi="Arial"/>
          <w:b w:val="0"/>
        </w:rPr>
        <w:t>Every shared app MUST sit behind company sign-in, with access limited to the people who need it. Open links MUST NOT be used.</w:t>
      </w:r>
    </w:p>
    <w:p>
      <w:r>
        <w:rPr>
          <w:rFonts w:ascii="Arial" w:hAnsi="Arial"/>
          <w:b/>
          <w:color w:val="6E767E"/>
        </w:rPr>
        <w:t xml:space="preserve">Why: </w:t>
      </w:r>
      <w:r>
        <w:rPr>
          <w:rFonts w:ascii="Arial" w:hAnsi="Arial"/>
          <w:b w:val="0"/>
          <w:color w:val="6E767E"/>
        </w:rPr>
        <w:t>Anyone who finds an open link can use the app.</w:t>
      </w:r>
    </w:p>
    <w:p>
      <w:pPr>
        <w:pStyle w:val="Heading3"/>
      </w:pPr>
      <w:r>
        <w:t>Guideline 10: Write a README and get a second pair of eyes</w:t>
      </w:r>
    </w:p>
    <w:p>
      <w:pPr>
        <w:spacing w:after="40"/>
      </w:pPr>
      <w:r>
        <w:rPr>
          <w:rFonts w:ascii="Arial" w:hAnsi="Arial"/>
          <w:b w:val="0"/>
        </w:rPr>
        <w:t>Every shared app MUST have a README that states its purpose, owner, connected systems and stored data. High-tier apps MUST pass a pre-production review before they’re shared.</w:t>
      </w:r>
    </w:p>
    <w:p>
      <w:r>
        <w:rPr>
          <w:rFonts w:ascii="Arial" w:hAnsi="Arial"/>
          <w:b/>
          <w:color w:val="6E767E"/>
        </w:rPr>
        <w:t xml:space="preserve">Why: </w:t>
      </w:r>
      <w:r>
        <w:rPr>
          <w:rFonts w:ascii="Arial" w:hAnsi="Arial"/>
          <w:b w:val="0"/>
          <w:color w:val="6E767E"/>
        </w:rPr>
        <w:t>A second reviewer catches what the builder is too close to see.</w:t>
      </w:r>
    </w:p>
    <w:p>
      <w:pPr>
        <w:pStyle w:val="Heading3"/>
      </w:pPr>
      <w:r>
        <w:t>Guideline 11: Ship the approved way, and keep IT posted</w:t>
      </w:r>
    </w:p>
    <w:p>
      <w:pPr>
        <w:spacing w:after="40"/>
      </w:pPr>
      <w:r>
        <w:rPr>
          <w:rFonts w:ascii="Arial" w:hAnsi="Arial"/>
          <w:b w:val="0"/>
        </w:rPr>
        <w:t xml:space="preserve">Apps MUST be deployed through </w:t>
      </w:r>
      <w:r>
        <w:rPr>
          <w:rFonts w:ascii="Arial" w:hAnsi="Arial"/>
          <w:b w:val="0"/>
          <w:color w:val="4D7C0F"/>
        </w:rPr>
        <w:t>[the approved way to ship]</w:t>
      </w:r>
      <w:r>
        <w:rPr>
          <w:rFonts w:ascii="Arial" w:hAnsi="Arial"/>
          <w:b w:val="0"/>
        </w:rPr>
        <w:t>, never through personal cloud accounts or personal tokens. Owners MUST tell IT when an app gains users, sensitive data or a new system connection.</w:t>
      </w:r>
    </w:p>
    <w:p>
      <w:r>
        <w:rPr>
          <w:rFonts w:ascii="Arial" w:hAnsi="Arial"/>
          <w:b/>
          <w:color w:val="6E767E"/>
        </w:rPr>
        <w:t xml:space="preserve">Why: </w:t>
      </w:r>
      <w:r>
        <w:rPr>
          <w:rFonts w:ascii="Arial" w:hAnsi="Arial"/>
          <w:b w:val="0"/>
          <w:color w:val="6E767E"/>
        </w:rPr>
        <w:t>Each of those can change the app’s tier.</w:t>
      </w:r>
    </w:p>
    <w:p>
      <w:pPr>
        <w:pStyle w:val="Heading3"/>
      </w:pPr>
      <w:r>
        <w:t>Guideline 12: Own it, hand it over, retire it</w:t>
      </w:r>
    </w:p>
    <w:p>
      <w:pPr>
        <w:spacing w:after="40"/>
      </w:pPr>
      <w:r>
        <w:rPr>
          <w:rFonts w:ascii="Arial" w:hAnsi="Arial"/>
          <w:b w:val="0"/>
        </w:rPr>
        <w:t>The builder is the owner until ownership is handed over in writing. Owners MUST arrange a handover before changing roles, and SHOULD retire apps that are no longer used.</w:t>
      </w:r>
    </w:p>
    <w:p>
      <w:r>
        <w:rPr>
          <w:rFonts w:ascii="Arial" w:hAnsi="Arial"/>
          <w:b/>
          <w:color w:val="6E767E"/>
        </w:rPr>
        <w:t xml:space="preserve">Why: </w:t>
      </w:r>
      <w:r>
        <w:rPr>
          <w:rFonts w:ascii="Arial" w:hAnsi="Arial"/>
          <w:b w:val="0"/>
          <w:color w:val="6E767E"/>
        </w:rPr>
        <w:t>An unowned app keeps running and keeps its access.</w:t>
      </w:r>
    </w:p>
    <w:p>
      <w:pPr>
        <w:pStyle w:val="Heading2"/>
      </w:pPr>
      <w:r>
        <w:t>5.2 For IT and security</w:t>
      </w:r>
    </w:p>
    <w:p>
      <w:r>
        <w:rPr>
          <w:rFonts w:ascii="Arial" w:hAnsi="Arial"/>
          <w:b w:val="0"/>
          <w:color w:val="6E767E"/>
        </w:rPr>
        <w:t>These apply to IT, platform and security teams.</w:t>
      </w:r>
    </w:p>
    <w:p>
      <w:pPr>
        <w:pStyle w:val="Heading3"/>
      </w:pPr>
      <w:r>
        <w:t>Guideline 13: Publish short, clear rules</w:t>
      </w:r>
    </w:p>
    <w:p>
      <w:pPr>
        <w:spacing w:after="40"/>
      </w:pPr>
      <w:r>
        <w:rPr>
          <w:rFonts w:ascii="Arial" w:hAnsi="Arial"/>
          <w:b w:val="0"/>
        </w:rPr>
        <w:t>IT MUST publish the approved assistants, the data allowed in prompts and what needs review, on one page.</w:t>
      </w:r>
    </w:p>
    <w:p>
      <w:r>
        <w:rPr>
          <w:rFonts w:ascii="Arial" w:hAnsi="Arial"/>
          <w:b/>
          <w:color w:val="6E767E"/>
        </w:rPr>
        <w:t xml:space="preserve">Why: </w:t>
      </w:r>
      <w:r>
        <w:rPr>
          <w:rFonts w:ascii="Arial" w:hAnsi="Arial"/>
          <w:b w:val="0"/>
          <w:color w:val="6E767E"/>
        </w:rPr>
        <w:t>People follow rules they can find and read.</w:t>
      </w:r>
    </w:p>
    <w:p>
      <w:pPr>
        <w:pStyle w:val="Heading3"/>
      </w:pPr>
      <w:r>
        <w:t>Guideline 14: Make the approved way to ship the easiest way</w:t>
      </w:r>
    </w:p>
    <w:p>
      <w:pPr>
        <w:spacing w:after="40"/>
      </w:pPr>
      <w:r>
        <w:rPr>
          <w:rFonts w:ascii="Arial" w:hAnsi="Arial"/>
          <w:b w:val="0"/>
        </w:rPr>
        <w:t>IT MUST provide an approved way to ship that’s quicker than the workarounds, and SHOULD measure both. IT SHOULD NOT block assistants outright as a default.</w:t>
      </w:r>
    </w:p>
    <w:p>
      <w:r>
        <w:rPr>
          <w:rFonts w:ascii="Arial" w:hAnsi="Arial"/>
          <w:b/>
          <w:color w:val="6E767E"/>
        </w:rPr>
        <w:t xml:space="preserve">Why: </w:t>
      </w:r>
      <w:r>
        <w:rPr>
          <w:rFonts w:ascii="Arial" w:hAnsi="Arial"/>
          <w:b w:val="0"/>
          <w:color w:val="6E767E"/>
        </w:rPr>
        <w:t>Blocking tends to push the work out of sight.</w:t>
      </w:r>
    </w:p>
    <w:p>
      <w:pPr>
        <w:pStyle w:val="Heading3"/>
      </w:pPr>
      <w:r>
        <w:t>Guideline 15: Tier apps by data and criticality</w:t>
      </w:r>
    </w:p>
    <w:p>
      <w:pPr>
        <w:spacing w:after="40"/>
      </w:pPr>
      <w:r>
        <w:rPr>
          <w:rFonts w:ascii="Arial" w:hAnsi="Arial"/>
          <w:b w:val="0"/>
        </w:rPr>
        <w:t>Every app MUST be given a tier from section 6, based on the sensitivity of its data and how critical it is to the business.</w:t>
      </w:r>
    </w:p>
    <w:p>
      <w:r>
        <w:rPr>
          <w:rFonts w:ascii="Arial" w:hAnsi="Arial"/>
          <w:b/>
          <w:color w:val="6E767E"/>
        </w:rPr>
        <w:t xml:space="preserve">Why: </w:t>
      </w:r>
      <w:r>
        <w:rPr>
          <w:rFonts w:ascii="Arial" w:hAnsi="Arial"/>
          <w:b w:val="0"/>
          <w:color w:val="6E767E"/>
        </w:rPr>
        <w:t>Controls go where the risk is, and low-risk apps stay quick to ship.</w:t>
      </w:r>
    </w:p>
    <w:p>
      <w:pPr>
        <w:pStyle w:val="Heading3"/>
      </w:pPr>
      <w:r>
        <w:t>Guideline 16: Name the events that trigger a re-review</w:t>
      </w:r>
    </w:p>
    <w:p>
      <w:pPr>
        <w:spacing w:after="40"/>
      </w:pPr>
      <w:r>
        <w:rPr>
          <w:rFonts w:ascii="Arial" w:hAnsi="Arial"/>
          <w:b w:val="0"/>
        </w:rPr>
        <w:t>An app’s tier MUST be reviewed when it gains users beyond its original audience, starts handling sensitive data, or connects to a system of record.</w:t>
      </w:r>
    </w:p>
    <w:p>
      <w:r>
        <w:rPr>
          <w:rFonts w:ascii="Arial" w:hAnsi="Arial"/>
          <w:b/>
          <w:color w:val="6E767E"/>
        </w:rPr>
        <w:t xml:space="preserve">Why: </w:t>
      </w:r>
      <w:r>
        <w:rPr>
          <w:rFonts w:ascii="Arial" w:hAnsi="Arial"/>
          <w:b w:val="0"/>
          <w:color w:val="6E767E"/>
        </w:rPr>
        <w:t>Apps grow a step at a time, and any step can move them up a tier.</w:t>
      </w:r>
    </w:p>
    <w:p>
      <w:pPr>
        <w:pStyle w:val="Heading3"/>
      </w:pPr>
      <w:r>
        <w:t>Guideline 17: Put sign-in in front of every app</w:t>
      </w:r>
    </w:p>
    <w:p>
      <w:pPr>
        <w:spacing w:after="40"/>
      </w:pPr>
      <w:r>
        <w:rPr>
          <w:rFonts w:ascii="Arial" w:hAnsi="Arial"/>
          <w:b w:val="0"/>
        </w:rPr>
        <w:t xml:space="preserve">IT MUST put every internal app behind </w:t>
      </w:r>
      <w:r>
        <w:rPr>
          <w:rFonts w:ascii="Arial" w:hAnsi="Arial"/>
          <w:b w:val="0"/>
          <w:color w:val="4D7C0F"/>
        </w:rPr>
        <w:t>[the company identity provider]</w:t>
      </w:r>
      <w:r>
        <w:rPr>
          <w:rFonts w:ascii="Arial" w:hAnsi="Arial"/>
          <w:b w:val="0"/>
        </w:rPr>
        <w:t>, with access granted app by app. Public links to internal apps MUST NOT be allowed.</w:t>
      </w:r>
    </w:p>
    <w:p>
      <w:r>
        <w:rPr>
          <w:rFonts w:ascii="Arial" w:hAnsi="Arial"/>
          <w:b/>
          <w:color w:val="6E767E"/>
        </w:rPr>
        <w:t xml:space="preserve">Why: </w:t>
      </w:r>
      <w:r>
        <w:rPr>
          <w:rFonts w:ascii="Arial" w:hAnsi="Arial"/>
          <w:b w:val="0"/>
          <w:color w:val="6E767E"/>
        </w:rPr>
        <w:t>Sign-in is the first control on every app, and the one a builder is likeliest to skip.</w:t>
      </w:r>
    </w:p>
    <w:p>
      <w:pPr>
        <w:pStyle w:val="Heading3"/>
      </w:pPr>
      <w:r>
        <w:t>Guideline 18: Hold credentials centrally</w:t>
      </w:r>
    </w:p>
    <w:p>
      <w:pPr>
        <w:spacing w:after="40"/>
      </w:pPr>
      <w:r>
        <w:rPr>
          <w:rFonts w:ascii="Arial" w:hAnsi="Arial"/>
          <w:b w:val="0"/>
        </w:rPr>
        <w:t xml:space="preserve">Credentials MUST be held in </w:t>
      </w:r>
      <w:r>
        <w:rPr>
          <w:rFonts w:ascii="Arial" w:hAnsi="Arial"/>
          <w:b w:val="0"/>
          <w:color w:val="4D7C0F"/>
        </w:rPr>
        <w:t>[the central secrets store or managed connections]</w:t>
      </w:r>
      <w:r>
        <w:rPr>
          <w:rFonts w:ascii="Arial" w:hAnsi="Arial"/>
          <w:b w:val="0"/>
        </w:rPr>
        <w:t>, owned by IT and never by individuals. Access MUST be least privilege, and rotation MUST happen in one place.</w:t>
      </w:r>
    </w:p>
    <w:p>
      <w:r>
        <w:rPr>
          <w:rFonts w:ascii="Arial" w:hAnsi="Arial"/>
          <w:b/>
          <w:color w:val="6E767E"/>
        </w:rPr>
        <w:t xml:space="preserve">Why: </w:t>
      </w:r>
      <w:r>
        <w:rPr>
          <w:rFonts w:ascii="Arial" w:hAnsi="Arial"/>
          <w:b w:val="0"/>
          <w:color w:val="6E767E"/>
        </w:rPr>
        <w:t>A credential held by a person leaves with them.</w:t>
      </w:r>
    </w:p>
    <w:p>
      <w:pPr>
        <w:pStyle w:val="Heading3"/>
      </w:pPr>
      <w:r>
        <w:t>Guideline 19: Give every production app a named owner</w:t>
      </w:r>
    </w:p>
    <w:p>
      <w:pPr>
        <w:spacing w:after="40"/>
      </w:pPr>
      <w:r>
        <w:rPr>
          <w:rFonts w:ascii="Arial" w:hAnsi="Arial"/>
          <w:b w:val="0"/>
        </w:rPr>
        <w:t>Every production app MUST have a named owner and a backup owner in the inventory. IT MUST keep a handover rule and a retirement rule.</w:t>
      </w:r>
    </w:p>
    <w:p>
      <w:r>
        <w:rPr>
          <w:rFonts w:ascii="Arial" w:hAnsi="Arial"/>
          <w:b/>
          <w:color w:val="6E767E"/>
        </w:rPr>
        <w:t xml:space="preserve">Why: </w:t>
      </w:r>
      <w:r>
        <w:rPr>
          <w:rFonts w:ascii="Arial" w:hAnsi="Arial"/>
          <w:b w:val="0"/>
          <w:color w:val="6E767E"/>
        </w:rPr>
        <w:t>Someone has to answer for an app when it breaks or its owner leaves.</w:t>
      </w:r>
    </w:p>
    <w:p>
      <w:pPr>
        <w:pStyle w:val="Heading3"/>
      </w:pPr>
      <w:r>
        <w:t>Guideline 20: Keep records you can answer from</w:t>
      </w:r>
    </w:p>
    <w:p>
      <w:pPr>
        <w:spacing w:after="40"/>
      </w:pPr>
      <w:r>
        <w:rPr>
          <w:rFonts w:ascii="Arial" w:hAnsi="Arial"/>
          <w:b w:val="0"/>
        </w:rPr>
        <w:t xml:space="preserve">Every app MUST log each run, and IT MUST record who deployed it and who has access. Records MUST show who asked, which identity it acted as, what it touched and who owns the app, and MUST be kept for </w:t>
      </w:r>
      <w:r>
        <w:rPr>
          <w:rFonts w:ascii="Arial" w:hAnsi="Arial"/>
          <w:b w:val="0"/>
          <w:color w:val="4D7C0F"/>
        </w:rPr>
        <w:t>[12 months]</w:t>
      </w:r>
      <w:r>
        <w:rPr>
          <w:rFonts w:ascii="Arial" w:hAnsi="Arial"/>
          <w:b w:val="0"/>
        </w:rPr>
        <w:t>.</w:t>
      </w:r>
    </w:p>
    <w:p>
      <w:r>
        <w:rPr>
          <w:rFonts w:ascii="Arial" w:hAnsi="Arial"/>
          <w:b/>
          <w:color w:val="6E767E"/>
        </w:rPr>
        <w:t xml:space="preserve">Why: </w:t>
      </w:r>
      <w:r>
        <w:rPr>
          <w:rFonts w:ascii="Arial" w:hAnsi="Arial"/>
          <w:b w:val="0"/>
          <w:color w:val="6E767E"/>
        </w:rPr>
        <w:t>Incidents and audits need these answers in minutes.</w:t>
      </w:r>
    </w:p>
    <w:p>
      <w:pPr>
        <w:pStyle w:val="Heading3"/>
      </w:pPr>
      <w:r>
        <w:t>Guideline 21: Know what’s running</w:t>
      </w:r>
    </w:p>
    <w:p>
      <w:pPr>
        <w:spacing w:after="40"/>
      </w:pPr>
      <w:r>
        <w:rPr>
          <w:rFonts w:ascii="Arial" w:hAnsi="Arial"/>
          <w:b w:val="0"/>
        </w:rPr>
        <w:t xml:space="preserve">IT MUST keep an inventory of AI-built apps showing owner, tier, systems, data and where each one runs, and MUST review it at least </w:t>
      </w:r>
      <w:r>
        <w:rPr>
          <w:rFonts w:ascii="Arial" w:hAnsi="Arial"/>
          <w:b w:val="0"/>
          <w:color w:val="4D7C0F"/>
        </w:rPr>
        <w:t>[monthly]</w:t>
      </w:r>
      <w:r>
        <w:rPr>
          <w:rFonts w:ascii="Arial" w:hAnsi="Arial"/>
          <w:b w:val="0"/>
        </w:rPr>
        <w:t>.</w:t>
      </w:r>
    </w:p>
    <w:p>
      <w:r>
        <w:rPr>
          <w:rFonts w:ascii="Arial" w:hAnsi="Arial"/>
          <w:b/>
          <w:color w:val="6E767E"/>
        </w:rPr>
        <w:t xml:space="preserve">Why: </w:t>
      </w:r>
      <w:r>
        <w:rPr>
          <w:rFonts w:ascii="Arial" w:hAnsi="Arial"/>
          <w:b w:val="0"/>
          <w:color w:val="6E767E"/>
        </w:rPr>
        <w:t>You can’t secure an app you don’t know about.</w:t>
      </w:r>
    </w:p>
    <w:p>
      <w:pPr>
        <w:pStyle w:val="Heading3"/>
      </w:pPr>
      <w:r>
        <w:t>Guideline 22: Make existing apps easy to find</w:t>
      </w:r>
    </w:p>
    <w:p>
      <w:pPr>
        <w:spacing w:after="40"/>
      </w:pPr>
      <w:r>
        <w:rPr>
          <w:rFonts w:ascii="Arial" w:hAnsi="Arial"/>
          <w:b w:val="0"/>
        </w:rPr>
        <w:t>IT SHOULD publish a searchable list of registered apps, so people can reuse one before building another.</w:t>
      </w:r>
    </w:p>
    <w:p>
      <w:r>
        <w:rPr>
          <w:rFonts w:ascii="Arial" w:hAnsi="Arial"/>
          <w:b/>
          <w:color w:val="6E767E"/>
        </w:rPr>
        <w:t xml:space="preserve">Why: </w:t>
      </w:r>
      <w:r>
        <w:rPr>
          <w:rFonts w:ascii="Arial" w:hAnsi="Arial"/>
          <w:b w:val="0"/>
          <w:color w:val="6E767E"/>
        </w:rPr>
        <w:t>Each near-copy is one more app to secure.</w:t>
      </w:r>
    </w:p>
    <w:p>
      <w:pPr>
        <w:pStyle w:val="Heading3"/>
      </w:pPr>
      <w:r>
        <w:t>Guideline 23: Scan code and dependencies</w:t>
      </w:r>
    </w:p>
    <w:p>
      <w:pPr>
        <w:spacing w:after="40"/>
      </w:pPr>
      <w:r>
        <w:rPr>
          <w:rFonts w:ascii="Arial" w:hAnsi="Arial"/>
          <w:b w:val="0"/>
        </w:rPr>
        <w:t>Secret scanning MUST run on every repository that holds AI-built code. Dependencies SHOULD be checked for known vulnerabilities. High-tier apps MUST have code review.</w:t>
      </w:r>
    </w:p>
    <w:p>
      <w:r>
        <w:rPr>
          <w:rFonts w:ascii="Arial" w:hAnsi="Arial"/>
          <w:b/>
          <w:color w:val="6E767E"/>
        </w:rPr>
        <w:t xml:space="preserve">Why: </w:t>
      </w:r>
      <w:r>
        <w:rPr>
          <w:rFonts w:ascii="Arial" w:hAnsi="Arial"/>
          <w:b w:val="0"/>
          <w:color w:val="6E767E"/>
        </w:rPr>
        <w:t>Most leaks show up in the code before they do harm.</w:t>
      </w:r>
    </w:p>
    <w:p>
      <w:pPr>
        <w:pStyle w:val="Heading3"/>
      </w:pPr>
      <w:r>
        <w:t>Guideline 24: Roll out in stages, and watch the signals</w:t>
      </w:r>
    </w:p>
    <w:p>
      <w:pPr>
        <w:spacing w:after="40"/>
      </w:pPr>
      <w:r>
        <w:rPr>
          <w:rFonts w:ascii="Arial" w:hAnsi="Arial"/>
          <w:b w:val="0"/>
        </w:rPr>
        <w:t xml:space="preserve">Adoption SHOULD follow the stages in section 9. IT SHOULD report the signals listed there to </w:t>
      </w:r>
      <w:r>
        <w:rPr>
          <w:rFonts w:ascii="Arial" w:hAnsi="Arial"/>
          <w:b w:val="0"/>
          <w:color w:val="4D7C0F"/>
        </w:rPr>
        <w:t>[the governance group]</w:t>
      </w:r>
      <w:r>
        <w:rPr>
          <w:rFonts w:ascii="Arial" w:hAnsi="Arial"/>
          <w:b w:val="0"/>
        </w:rPr>
        <w:t xml:space="preserve"> every </w:t>
      </w:r>
      <w:r>
        <w:rPr>
          <w:rFonts w:ascii="Arial" w:hAnsi="Arial"/>
          <w:b w:val="0"/>
          <w:color w:val="4D7C0F"/>
        </w:rPr>
        <w:t>[month]</w:t>
      </w:r>
      <w:r>
        <w:rPr>
          <w:rFonts w:ascii="Arial" w:hAnsi="Arial"/>
          <w:b w:val="0"/>
        </w:rPr>
        <w:t>.</w:t>
      </w:r>
    </w:p>
    <w:p>
      <w:r>
        <w:rPr>
          <w:rFonts w:ascii="Arial" w:hAnsi="Arial"/>
          <w:b/>
          <w:color w:val="6E767E"/>
        </w:rPr>
        <w:t xml:space="preserve">Why: </w:t>
      </w:r>
      <w:r>
        <w:rPr>
          <w:rFonts w:ascii="Arial" w:hAnsi="Arial"/>
          <w:b w:val="0"/>
          <w:color w:val="6E767E"/>
        </w:rPr>
        <w:t>A pilot shows what works before every team depends on it.</w:t>
      </w:r>
    </w:p>
    <w:p>
      <w:pPr>
        <w:pStyle w:val="Heading1"/>
      </w:pPr>
      <w:r>
        <w:t>6. Risk tiers</w:t>
      </w:r>
    </w:p>
    <w:p>
      <w:r>
        <w:rPr>
          <w:rFonts w:ascii="Arial" w:hAnsi="Arial"/>
          <w:b w:val="0"/>
        </w:rPr>
        <w:t xml:space="preserve">Every app has one tier (guideline 15). Adjust the defaults below to fit </w:t>
      </w:r>
      <w:r>
        <w:rPr>
          <w:rFonts w:ascii="Arial" w:hAnsi="Arial"/>
          <w:b w:val="0"/>
          <w:color w:val="4D7C0F"/>
        </w:rPr>
        <w:t>[Organization]</w:t>
      </w:r>
      <w:r>
        <w:rPr>
          <w:rFonts w:ascii="Arial" w:hAnsi="Arial"/>
          <w:b w:val="0"/>
        </w:rPr>
        <w:t>.</w:t>
      </w:r>
    </w:p>
    <w:tbl>
      <w:tblPr>
        <w:tblStyle w:val="TableGrid"/>
        <w:tblW w:type="auto" w:w="0"/>
        <w:jc w:val="left"/>
        <w:tblLayout w:type="fixed"/>
        <w:tblLook w:firstColumn="1" w:firstRow="1" w:lastColumn="0" w:lastRow="0" w:noHBand="0" w:noVBand="1" w:val="04A0"/>
        <w:tblLayout w:type="fixed"/>
      </w:tblPr>
      <w:tblGrid>
        <w:gridCol w:w="1247"/>
        <w:gridCol w:w="2041"/>
        <w:gridCol w:w="2494"/>
        <w:gridCol w:w="1587"/>
        <w:gridCol w:w="2041"/>
      </w:tblGrid>
      <w:tr>
        <w:trPr>
          <w:tblHeader w:val="true"/>
        </w:trPr>
        <w:tc>
          <w:tcPr>
            <w:tcW w:type="dxa" w:w="1247"/>
            <w:shd w:val="clear" w:color="auto" w:fill="ADEE23"/>
          </w:tcPr>
          <w:p>
            <w:r/>
            <w:r>
              <w:rPr>
                <w:rFonts w:ascii="Arial" w:hAnsi="Arial"/>
                <w:b/>
                <w:sz w:val="18"/>
              </w:rPr>
              <w:t>Tier</w:t>
            </w:r>
          </w:p>
        </w:tc>
        <w:tc>
          <w:tcPr>
            <w:tcW w:type="dxa" w:w="2041"/>
            <w:shd w:val="clear" w:color="auto" w:fill="ADEE23"/>
          </w:tcPr>
          <w:p>
            <w:r/>
            <w:r>
              <w:rPr>
                <w:rFonts w:ascii="Arial" w:hAnsi="Arial"/>
                <w:b/>
                <w:sz w:val="18"/>
              </w:rPr>
              <w:t>Examples</w:t>
            </w:r>
          </w:p>
        </w:tc>
        <w:tc>
          <w:tcPr>
            <w:tcW w:type="dxa" w:w="2494"/>
            <w:shd w:val="clear" w:color="auto" w:fill="ADEE23"/>
          </w:tcPr>
          <w:p>
            <w:r/>
            <w:r>
              <w:rPr>
                <w:rFonts w:ascii="Arial" w:hAnsi="Arial"/>
                <w:b/>
                <w:sz w:val="18"/>
              </w:rPr>
              <w:t>What it requires</w:t>
            </w:r>
          </w:p>
        </w:tc>
        <w:tc>
          <w:tcPr>
            <w:tcW w:type="dxa" w:w="1587"/>
            <w:shd w:val="clear" w:color="auto" w:fill="ADEE23"/>
          </w:tcPr>
          <w:p>
            <w:r/>
            <w:r>
              <w:rPr>
                <w:rFonts w:ascii="Arial" w:hAnsi="Arial"/>
                <w:b/>
                <w:sz w:val="18"/>
              </w:rPr>
              <w:t>Who approves sharing</w:t>
            </w:r>
          </w:p>
        </w:tc>
        <w:tc>
          <w:tcPr>
            <w:tcW w:type="dxa" w:w="2041"/>
            <w:shd w:val="clear" w:color="auto" w:fill="ADEE23"/>
          </w:tcPr>
          <w:p>
            <w:r/>
            <w:r>
              <w:rPr>
                <w:rFonts w:ascii="Arial" w:hAnsi="Arial"/>
                <w:b/>
                <w:sz w:val="18"/>
              </w:rPr>
              <w:t>Re-review triggers</w:t>
            </w:r>
          </w:p>
        </w:tc>
      </w:tr>
      <w:tr>
        <w:tc>
          <w:tcPr>
            <w:tcW w:type="dxa" w:w="1247"/>
          </w:tcPr>
          <w:p>
            <w:pPr>
              <w:spacing w:after="40"/>
            </w:pPr>
            <w:r/>
            <w:r>
              <w:rPr>
                <w:rFonts w:ascii="Arial" w:hAnsi="Arial"/>
                <w:b/>
                <w:sz w:val="18"/>
              </w:rPr>
              <w:t>Low</w:t>
            </w:r>
          </w:p>
        </w:tc>
        <w:tc>
          <w:tcPr>
            <w:tcW w:type="dxa" w:w="2041"/>
          </w:tcPr>
          <w:p>
            <w:pPr>
              <w:spacing w:after="40"/>
            </w:pPr>
            <w:r/>
            <w:r>
              <w:rPr>
                <w:rFonts w:ascii="Arial" w:hAnsi="Arial"/>
                <w:b w:val="0"/>
                <w:sz w:val="18"/>
              </w:rPr>
              <w:t>Personal tools on non-sensitive data; one user or a small team</w:t>
            </w:r>
          </w:p>
        </w:tc>
        <w:tc>
          <w:tcPr>
            <w:tcW w:type="dxa" w:w="2494"/>
          </w:tcPr>
          <w:p>
            <w:pPr>
              <w:spacing w:after="40"/>
            </w:pPr>
            <w:r/>
            <w:r>
              <w:rPr>
                <w:rFonts w:ascii="Arial" w:hAnsi="Arial"/>
                <w:b w:val="0"/>
                <w:sz w:val="18"/>
              </w:rPr>
              <w:t>Sign-in; no credentials in code; registered in the inventory</w:t>
            </w:r>
          </w:p>
        </w:tc>
        <w:tc>
          <w:tcPr>
            <w:tcW w:type="dxa" w:w="1587"/>
          </w:tcPr>
          <w:p>
            <w:pPr>
              <w:spacing w:after="40"/>
            </w:pPr>
            <w:r/>
            <w:r>
              <w:rPr>
                <w:rFonts w:ascii="Arial" w:hAnsi="Arial"/>
                <w:b w:val="0"/>
                <w:sz w:val="18"/>
              </w:rPr>
              <w:t>App owner</w:t>
            </w:r>
          </w:p>
        </w:tc>
        <w:tc>
          <w:tcPr>
            <w:tcW w:type="dxa" w:w="2041"/>
          </w:tcPr>
          <w:p>
            <w:pPr>
              <w:spacing w:after="40"/>
            </w:pPr>
            <w:r/>
            <w:r>
              <w:rPr>
                <w:rFonts w:ascii="Arial" w:hAnsi="Arial"/>
                <w:b w:val="0"/>
                <w:sz w:val="18"/>
              </w:rPr>
              <w:t>A new team of users; any sensitive data; any write to a system of record</w:t>
            </w:r>
          </w:p>
        </w:tc>
      </w:tr>
      <w:tr>
        <w:tc>
          <w:tcPr>
            <w:tcW w:type="dxa" w:w="1247"/>
          </w:tcPr>
          <w:p>
            <w:pPr>
              <w:spacing w:after="40"/>
            </w:pPr>
            <w:r/>
            <w:r>
              <w:rPr>
                <w:rFonts w:ascii="Arial" w:hAnsi="Arial"/>
                <w:b/>
                <w:sz w:val="18"/>
              </w:rPr>
              <w:t>Medium</w:t>
            </w:r>
          </w:p>
        </w:tc>
        <w:tc>
          <w:tcPr>
            <w:tcW w:type="dxa" w:w="2041"/>
          </w:tcPr>
          <w:p>
            <w:pPr>
              <w:spacing w:after="40"/>
            </w:pPr>
            <w:r/>
            <w:r>
              <w:rPr>
                <w:rFonts w:ascii="Arial" w:hAnsi="Arial"/>
                <w:b w:val="0"/>
                <w:sz w:val="18"/>
              </w:rPr>
              <w:t>Team apps on internal data; read-only links to business systems</w:t>
            </w:r>
          </w:p>
        </w:tc>
        <w:tc>
          <w:tcPr>
            <w:tcW w:type="dxa" w:w="2494"/>
          </w:tcPr>
          <w:p>
            <w:pPr>
              <w:spacing w:after="40"/>
            </w:pPr>
            <w:r/>
            <w:r>
              <w:rPr>
                <w:rFonts w:ascii="Arial" w:hAnsi="Arial"/>
                <w:b w:val="0"/>
                <w:sz w:val="18"/>
              </w:rPr>
              <w:t>Everything in Low, plus a named owner and backup, approved connections, logs and a README</w:t>
            </w:r>
          </w:p>
        </w:tc>
        <w:tc>
          <w:tcPr>
            <w:tcW w:type="dxa" w:w="1587"/>
          </w:tcPr>
          <w:p>
            <w:pPr>
              <w:spacing w:after="40"/>
            </w:pPr>
            <w:r/>
            <w:r>
              <w:rPr>
                <w:rFonts w:ascii="Arial" w:hAnsi="Arial"/>
                <w:b w:val="0"/>
                <w:sz w:val="18"/>
              </w:rPr>
              <w:t>App owner, with IT informed</w:t>
            </w:r>
          </w:p>
        </w:tc>
        <w:tc>
          <w:tcPr>
            <w:tcW w:type="dxa" w:w="2041"/>
          </w:tcPr>
          <w:p>
            <w:pPr>
              <w:spacing w:after="40"/>
            </w:pPr>
            <w:r/>
            <w:r>
              <w:rPr>
                <w:rFonts w:ascii="Arial" w:hAnsi="Arial"/>
                <w:b w:val="0"/>
                <w:sz w:val="18"/>
              </w:rPr>
              <w:t xml:space="preserve">More than </w:t>
            </w:r>
            <w:r>
              <w:rPr>
                <w:rFonts w:ascii="Arial" w:hAnsi="Arial"/>
                <w:b w:val="0"/>
                <w:color w:val="4D7C0F"/>
                <w:sz w:val="18"/>
              </w:rPr>
              <w:t>[50]</w:t>
            </w:r>
            <w:r>
              <w:rPr>
                <w:rFonts w:ascii="Arial" w:hAnsi="Arial"/>
                <w:b w:val="0"/>
                <w:sz w:val="18"/>
              </w:rPr>
              <w:t xml:space="preserve"> users; use outside the team; any write to a system of record</w:t>
            </w:r>
          </w:p>
        </w:tc>
      </w:tr>
      <w:tr>
        <w:tc>
          <w:tcPr>
            <w:tcW w:type="dxa" w:w="1247"/>
          </w:tcPr>
          <w:p>
            <w:pPr>
              <w:spacing w:after="40"/>
            </w:pPr>
            <w:r/>
            <w:r>
              <w:rPr>
                <w:rFonts w:ascii="Arial" w:hAnsi="Arial"/>
                <w:b/>
                <w:sz w:val="18"/>
              </w:rPr>
              <w:t>High</w:t>
            </w:r>
          </w:p>
        </w:tc>
        <w:tc>
          <w:tcPr>
            <w:tcW w:type="dxa" w:w="2041"/>
          </w:tcPr>
          <w:p>
            <w:pPr>
              <w:spacing w:after="40"/>
            </w:pPr>
            <w:r/>
            <w:r>
              <w:rPr>
                <w:rFonts w:ascii="Arial" w:hAnsi="Arial"/>
                <w:b w:val="0"/>
                <w:sz w:val="18"/>
              </w:rPr>
              <w:t>Writes to a system of record; handles sensitive data; used across departments</w:t>
            </w:r>
          </w:p>
        </w:tc>
        <w:tc>
          <w:tcPr>
            <w:tcW w:type="dxa" w:w="2494"/>
          </w:tcPr>
          <w:p>
            <w:pPr>
              <w:spacing w:after="40"/>
            </w:pPr>
            <w:r/>
            <w:r>
              <w:rPr>
                <w:rFonts w:ascii="Arial" w:hAnsi="Arial"/>
                <w:b w:val="0"/>
                <w:sz w:val="18"/>
              </w:rPr>
              <w:t>Everything in Medium, plus code review and a pre-production review (form C)</w:t>
            </w:r>
          </w:p>
        </w:tc>
        <w:tc>
          <w:tcPr>
            <w:tcW w:type="dxa" w:w="1587"/>
          </w:tcPr>
          <w:p>
            <w:pPr>
              <w:spacing w:after="40"/>
            </w:pPr>
            <w:r/>
            <w:r>
              <w:rPr>
                <w:rFonts w:ascii="Arial" w:hAnsi="Arial"/>
                <w:b w:val="0"/>
                <w:color w:val="4D7C0F"/>
                <w:sz w:val="18"/>
              </w:rPr>
              <w:t>[Security lead]</w:t>
            </w:r>
          </w:p>
        </w:tc>
        <w:tc>
          <w:tcPr>
            <w:tcW w:type="dxa" w:w="2041"/>
          </w:tcPr>
          <w:p>
            <w:pPr>
              <w:spacing w:after="40"/>
            </w:pPr>
            <w:r/>
            <w:r>
              <w:rPr>
                <w:rFonts w:ascii="Arial" w:hAnsi="Arial"/>
                <w:b w:val="0"/>
                <w:sz w:val="18"/>
              </w:rPr>
              <w:t xml:space="preserve">A new data class; a new system; a change of owner; every </w:t>
            </w:r>
            <w:r>
              <w:rPr>
                <w:rFonts w:ascii="Arial" w:hAnsi="Arial"/>
                <w:b w:val="0"/>
                <w:color w:val="4D7C0F"/>
                <w:sz w:val="18"/>
              </w:rPr>
              <w:t>[12 months]</w:t>
            </w:r>
          </w:p>
        </w:tc>
      </w:tr>
      <w:tr>
        <w:tc>
          <w:tcPr>
            <w:tcW w:type="dxa" w:w="1247"/>
          </w:tcPr>
          <w:p>
            <w:pPr>
              <w:spacing w:after="40"/>
            </w:pPr>
            <w:r/>
            <w:r>
              <w:rPr>
                <w:rFonts w:ascii="Arial" w:hAnsi="Arial"/>
                <w:b/>
                <w:sz w:val="18"/>
              </w:rPr>
              <w:t>Prohibited</w:t>
            </w:r>
          </w:p>
        </w:tc>
        <w:tc>
          <w:tcPr>
            <w:tcW w:type="dxa" w:w="2041"/>
          </w:tcPr>
          <w:p>
            <w:pPr>
              <w:spacing w:after="40"/>
            </w:pPr>
            <w:r/>
            <w:r>
              <w:rPr>
                <w:rFonts w:ascii="Arial" w:hAnsi="Arial"/>
                <w:b w:val="0"/>
                <w:color w:val="4D7C0F"/>
                <w:sz w:val="18"/>
              </w:rPr>
              <w:t>[Customer-facing apps; payment execution; [regulated data]</w:t>
            </w:r>
            <w:r>
              <w:rPr>
                <w:rFonts w:ascii="Arial" w:hAnsi="Arial"/>
                <w:b w:val="0"/>
                <w:sz w:val="18"/>
              </w:rPr>
              <w:t>]</w:t>
            </w:r>
          </w:p>
        </w:tc>
        <w:tc>
          <w:tcPr>
            <w:tcW w:type="dxa" w:w="2494"/>
          </w:tcPr>
          <w:p>
            <w:pPr>
              <w:spacing w:after="40"/>
            </w:pPr>
            <w:r/>
            <w:r>
              <w:rPr>
                <w:rFonts w:ascii="Arial" w:hAnsi="Arial"/>
                <w:b w:val="0"/>
                <w:sz w:val="18"/>
              </w:rPr>
              <w:t>Not permitted under this standard</w:t>
            </w:r>
          </w:p>
        </w:tc>
        <w:tc>
          <w:tcPr>
            <w:tcW w:type="dxa" w:w="1587"/>
          </w:tcPr>
          <w:p>
            <w:pPr>
              <w:spacing w:after="40"/>
            </w:pPr>
            <w:r/>
            <w:r>
              <w:rPr>
                <w:rFonts w:ascii="Arial" w:hAnsi="Arial"/>
                <w:b w:val="0"/>
                <w:sz w:val="18"/>
              </w:rPr>
              <w:t>Exception only (section 7)</w:t>
            </w:r>
          </w:p>
        </w:tc>
        <w:tc>
          <w:tcPr>
            <w:tcW w:type="dxa" w:w="2041"/>
          </w:tcPr>
          <w:p>
            <w:pPr>
              <w:spacing w:after="40"/>
            </w:pPr>
            <w:r/>
            <w:r>
              <w:rPr>
                <w:rFonts w:ascii="Arial" w:hAnsi="Arial"/>
                <w:b w:val="0"/>
                <w:sz w:val="18"/>
              </w:rPr>
              <w:t>Not applicable</w:t>
            </w:r>
          </w:p>
        </w:tc>
      </w:tr>
    </w:tbl>
    <w:p/>
    <w:p>
      <w:pPr>
        <w:pStyle w:val="Heading1"/>
      </w:pPr>
      <w:r>
        <w:t>7. Exceptions</w:t>
      </w:r>
    </w:p>
    <w:p>
      <w:pPr>
        <w:pStyle w:val="ListBullet"/>
      </w:pPr>
      <w:r>
        <w:rPr>
          <w:rFonts w:ascii="Arial" w:hAnsi="Arial"/>
          <w:b w:val="0"/>
        </w:rPr>
        <w:t xml:space="preserve">Request an exception with form B, sent to </w:t>
      </w:r>
      <w:r>
        <w:rPr>
          <w:rFonts w:ascii="Arial" w:hAnsi="Arial"/>
          <w:b w:val="0"/>
          <w:color w:val="4D7C0F"/>
        </w:rPr>
        <w:t>[channel or team]</w:t>
      </w:r>
      <w:r>
        <w:rPr>
          <w:rFonts w:ascii="Arial" w:hAnsi="Arial"/>
          <w:b w:val="0"/>
        </w:rPr>
        <w:t>. Say which guideline you can’t meet, why, and what you’ll do instead to limit the risk.</w:t>
      </w:r>
    </w:p>
    <w:p>
      <w:pPr>
        <w:pStyle w:val="ListBullet"/>
      </w:pPr>
      <w:r>
        <w:rPr>
          <w:rFonts w:ascii="Arial" w:hAnsi="Arial"/>
          <w:b w:val="0"/>
          <w:color w:val="4D7C0F"/>
        </w:rPr>
        <w:t>[Security lead]</w:t>
      </w:r>
      <w:r>
        <w:rPr>
          <w:rFonts w:ascii="Arial" w:hAnsi="Arial"/>
          <w:b w:val="0"/>
        </w:rPr>
        <w:t xml:space="preserve"> decides exceptions for High-tier apps; </w:t>
      </w:r>
      <w:r>
        <w:rPr>
          <w:rFonts w:ascii="Arial" w:hAnsi="Arial"/>
          <w:b w:val="0"/>
          <w:color w:val="4D7C0F"/>
        </w:rPr>
        <w:t>[IT lead]</w:t>
      </w:r>
      <w:r>
        <w:rPr>
          <w:rFonts w:ascii="Arial" w:hAnsi="Arial"/>
          <w:b w:val="0"/>
        </w:rPr>
        <w:t xml:space="preserve"> decides all others. The decision is made within </w:t>
      </w:r>
      <w:r>
        <w:rPr>
          <w:rFonts w:ascii="Arial" w:hAnsi="Arial"/>
          <w:b w:val="0"/>
          <w:color w:val="4D7C0F"/>
        </w:rPr>
        <w:t>[5]</w:t>
      </w:r>
      <w:r>
        <w:rPr>
          <w:rFonts w:ascii="Arial" w:hAnsi="Arial"/>
          <w:b w:val="0"/>
        </w:rPr>
        <w:t xml:space="preserve"> working days.</w:t>
      </w:r>
    </w:p>
    <w:p>
      <w:pPr>
        <w:pStyle w:val="ListBullet"/>
      </w:pPr>
      <w:r>
        <w:rPr>
          <w:rFonts w:ascii="Arial" w:hAnsi="Arial"/>
          <w:b w:val="0"/>
        </w:rPr>
        <w:t xml:space="preserve">An exception lasts at most </w:t>
      </w:r>
      <w:r>
        <w:rPr>
          <w:rFonts w:ascii="Arial" w:hAnsi="Arial"/>
          <w:b w:val="0"/>
          <w:color w:val="4D7C0F"/>
        </w:rPr>
        <w:t>[90 days]</w:t>
      </w:r>
      <w:r>
        <w:rPr>
          <w:rFonts w:ascii="Arial" w:hAnsi="Arial"/>
          <w:b w:val="0"/>
        </w:rPr>
        <w:t xml:space="preserve"> and may be renewed once. Every exception is recorded in </w:t>
      </w:r>
      <w:r>
        <w:rPr>
          <w:rFonts w:ascii="Arial" w:hAnsi="Arial"/>
          <w:b w:val="0"/>
          <w:color w:val="4D7C0F"/>
        </w:rPr>
        <w:t>[the exception register]</w:t>
      </w:r>
      <w:r>
        <w:rPr>
          <w:rFonts w:ascii="Arial" w:hAnsi="Arial"/>
          <w:b w:val="0"/>
        </w:rPr>
        <w:t xml:space="preserve"> with its approver and expiry date.</w:t>
      </w:r>
    </w:p>
    <w:p>
      <w:pPr>
        <w:pStyle w:val="Heading1"/>
      </w:pPr>
      <w:r>
        <w:t>8. Compliance</w:t>
      </w:r>
    </w:p>
    <w:p>
      <w:pPr>
        <w:pStyle w:val="Heading2"/>
      </w:pPr>
      <w:r>
        <w:t>How adherence is checked</w:t>
      </w:r>
    </w:p>
    <w:p>
      <w:pPr>
        <w:pStyle w:val="ListBullet"/>
      </w:pPr>
      <w:r>
        <w:rPr>
          <w:rFonts w:ascii="Arial" w:hAnsi="Arial"/>
          <w:b w:val="0"/>
        </w:rPr>
        <w:t xml:space="preserve">Inventory review: IT compares the inventory against what’s running every </w:t>
      </w:r>
      <w:r>
        <w:rPr>
          <w:rFonts w:ascii="Arial" w:hAnsi="Arial"/>
          <w:b w:val="0"/>
          <w:color w:val="4D7C0F"/>
        </w:rPr>
        <w:t>[month]</w:t>
      </w:r>
      <w:r>
        <w:rPr>
          <w:rFonts w:ascii="Arial" w:hAnsi="Arial"/>
          <w:b w:val="0"/>
        </w:rPr>
        <w:t>.</w:t>
      </w:r>
    </w:p>
    <w:p>
      <w:pPr>
        <w:pStyle w:val="ListBullet"/>
      </w:pPr>
      <w:r>
        <w:rPr>
          <w:rFonts w:ascii="Arial" w:hAnsi="Arial"/>
          <w:b w:val="0"/>
        </w:rPr>
        <w:t xml:space="preserve">Access review: owners confirm who has access to Medium and High-tier apps every </w:t>
      </w:r>
      <w:r>
        <w:rPr>
          <w:rFonts w:ascii="Arial" w:hAnsi="Arial"/>
          <w:b w:val="0"/>
          <w:color w:val="4D7C0F"/>
        </w:rPr>
        <w:t>[quarter]</w:t>
      </w:r>
      <w:r>
        <w:rPr>
          <w:rFonts w:ascii="Arial" w:hAnsi="Arial"/>
          <w:b w:val="0"/>
        </w:rPr>
        <w:t>.</w:t>
      </w:r>
    </w:p>
    <w:p>
      <w:pPr>
        <w:pStyle w:val="ListBullet"/>
      </w:pPr>
      <w:r>
        <w:rPr>
          <w:rFonts w:ascii="Arial" w:hAnsi="Arial"/>
          <w:b w:val="0"/>
        </w:rPr>
        <w:t>Secret scanning: runs continuously on every repository that holds AI-built code.</w:t>
      </w:r>
    </w:p>
    <w:p>
      <w:pPr>
        <w:pStyle w:val="ListBullet"/>
      </w:pPr>
      <w:r>
        <w:rPr>
          <w:rFonts w:ascii="Arial" w:hAnsi="Arial"/>
          <w:b w:val="0"/>
        </w:rPr>
        <w:t xml:space="preserve">Tier review: triggered by the events in section 6, and at least every </w:t>
      </w:r>
      <w:r>
        <w:rPr>
          <w:rFonts w:ascii="Arial" w:hAnsi="Arial"/>
          <w:b w:val="0"/>
          <w:color w:val="4D7C0F"/>
        </w:rPr>
        <w:t>[12 months]</w:t>
      </w:r>
      <w:r>
        <w:rPr>
          <w:rFonts w:ascii="Arial" w:hAnsi="Arial"/>
          <w:b w:val="0"/>
        </w:rPr>
        <w:t xml:space="preserve"> for High.</w:t>
      </w:r>
    </w:p>
    <w:p>
      <w:pPr>
        <w:pStyle w:val="Heading2"/>
      </w:pPr>
      <w:r>
        <w:t>When an app doesn’t comply</w:t>
      </w:r>
    </w:p>
    <w:p>
      <w:pPr>
        <w:pStyle w:val="ListBullet"/>
      </w:pPr>
      <w:r>
        <w:rPr>
          <w:rFonts w:ascii="Arial" w:hAnsi="Arial"/>
          <w:b w:val="0"/>
        </w:rPr>
        <w:t xml:space="preserve">When an app doesn’t meet this standard, IT tells the owner what needs fixing. The owner has </w:t>
      </w:r>
      <w:r>
        <w:rPr>
          <w:rFonts w:ascii="Arial" w:hAnsi="Arial"/>
          <w:b w:val="0"/>
          <w:color w:val="4D7C0F"/>
        </w:rPr>
        <w:t>[10]</w:t>
      </w:r>
      <w:r>
        <w:rPr>
          <w:rFonts w:ascii="Arial" w:hAnsi="Arial"/>
          <w:b w:val="0"/>
        </w:rPr>
        <w:t xml:space="preserve"> working days to fix it, or to request an exception.</w:t>
      </w:r>
    </w:p>
    <w:p>
      <w:pPr>
        <w:pStyle w:val="ListBullet"/>
      </w:pPr>
      <w:r>
        <w:rPr>
          <w:rFonts w:ascii="Arial" w:hAnsi="Arial"/>
          <w:b w:val="0"/>
        </w:rPr>
        <w:t>An exposed credential is rotated straight away. An open link to sensitive data is closed straight away.</w:t>
      </w:r>
    </w:p>
    <w:p>
      <w:pPr>
        <w:pStyle w:val="ListBullet"/>
      </w:pPr>
      <w:r>
        <w:rPr>
          <w:rFonts w:ascii="Arial" w:hAnsi="Arial"/>
          <w:b w:val="0"/>
        </w:rPr>
        <w:t>If the fix isn’t made in time, IT restricts access to the app or switches it off until it’s fixed, and tells the owner first.</w:t>
      </w:r>
    </w:p>
    <w:p>
      <w:pPr>
        <w:pStyle w:val="Heading1"/>
      </w:pPr>
      <w:r>
        <w:t>9. Adoption</w:t>
      </w:r>
    </w:p>
    <w:tbl>
      <w:tblPr>
        <w:tblStyle w:val="TableGrid"/>
        <w:tblW w:type="auto" w:w="0"/>
        <w:jc w:val="left"/>
        <w:tblLayout w:type="fixed"/>
        <w:tblLook w:firstColumn="1" w:firstRow="1" w:lastColumn="0" w:lastRow="0" w:noHBand="0" w:noVBand="1" w:val="04A0"/>
        <w:tblLayout w:type="fixed"/>
      </w:tblPr>
      <w:tblGrid>
        <w:gridCol w:w="1814"/>
        <w:gridCol w:w="1020"/>
        <w:gridCol w:w="5329"/>
        <w:gridCol w:w="1247"/>
      </w:tblGrid>
      <w:tr>
        <w:trPr>
          <w:tblHeader w:val="true"/>
        </w:trPr>
        <w:tc>
          <w:tcPr>
            <w:tcW w:type="dxa" w:w="1814"/>
            <w:shd w:val="clear" w:color="auto" w:fill="ADEE23"/>
          </w:tcPr>
          <w:p>
            <w:r/>
            <w:r>
              <w:rPr>
                <w:rFonts w:ascii="Arial" w:hAnsi="Arial"/>
                <w:b/>
                <w:sz w:val="19"/>
              </w:rPr>
              <w:t>Stage</w:t>
            </w:r>
          </w:p>
        </w:tc>
        <w:tc>
          <w:tcPr>
            <w:tcW w:type="dxa" w:w="1020"/>
            <w:shd w:val="clear" w:color="auto" w:fill="ADEE23"/>
          </w:tcPr>
          <w:p>
            <w:r/>
            <w:r>
              <w:rPr>
                <w:rFonts w:ascii="Arial" w:hAnsi="Arial"/>
                <w:b/>
                <w:sz w:val="19"/>
              </w:rPr>
              <w:t>Days</w:t>
            </w:r>
          </w:p>
        </w:tc>
        <w:tc>
          <w:tcPr>
            <w:tcW w:type="dxa" w:w="5329"/>
            <w:shd w:val="clear" w:color="auto" w:fill="ADEE23"/>
          </w:tcPr>
          <w:p>
            <w:r/>
            <w:r>
              <w:rPr>
                <w:rFonts w:ascii="Arial" w:hAnsi="Arial"/>
                <w:b/>
                <w:sz w:val="19"/>
              </w:rPr>
              <w:t>What happens</w:t>
            </w:r>
          </w:p>
        </w:tc>
        <w:tc>
          <w:tcPr>
            <w:tcW w:type="dxa" w:w="1247"/>
            <w:shd w:val="clear" w:color="auto" w:fill="ADEE23"/>
          </w:tcPr>
          <w:p>
            <w:r/>
            <w:r>
              <w:rPr>
                <w:rFonts w:ascii="Arial" w:hAnsi="Arial"/>
                <w:b/>
                <w:sz w:val="19"/>
              </w:rPr>
              <w:t>Owner</w:t>
            </w:r>
          </w:p>
        </w:tc>
      </w:tr>
      <w:tr>
        <w:tc>
          <w:tcPr>
            <w:tcW w:type="dxa" w:w="1814"/>
          </w:tcPr>
          <w:p>
            <w:pPr>
              <w:spacing w:after="40"/>
            </w:pPr>
            <w:r/>
            <w:r>
              <w:rPr>
                <w:rFonts w:ascii="Arial" w:hAnsi="Arial"/>
                <w:b/>
                <w:sz w:val="19"/>
              </w:rPr>
              <w:t>Baseline</w:t>
            </w:r>
          </w:p>
        </w:tc>
        <w:tc>
          <w:tcPr>
            <w:tcW w:type="dxa" w:w="1020"/>
          </w:tcPr>
          <w:p>
            <w:pPr>
              <w:spacing w:after="40"/>
            </w:pPr>
            <w:r/>
            <w:r>
              <w:rPr>
                <w:rFonts w:ascii="Arial" w:hAnsi="Arial"/>
                <w:b w:val="0"/>
                <w:sz w:val="19"/>
              </w:rPr>
              <w:t>1 to 30</w:t>
            </w:r>
          </w:p>
        </w:tc>
        <w:tc>
          <w:tcPr>
            <w:tcW w:type="dxa" w:w="5329"/>
          </w:tcPr>
          <w:p>
            <w:pPr>
              <w:spacing w:after="40"/>
            </w:pPr>
            <w:r/>
            <w:r>
              <w:rPr>
                <w:rFonts w:ascii="Arial" w:hAnsi="Arial"/>
                <w:b w:val="0"/>
                <w:sz w:val="19"/>
              </w:rPr>
              <w:t>Approve this standard. Publish the one-page rules (guideline 13). Send the inventory request (form E) and find where every app’s credentials live.</w:t>
            </w:r>
          </w:p>
        </w:tc>
        <w:tc>
          <w:tcPr>
            <w:tcW w:type="dxa" w:w="1247"/>
          </w:tcPr>
          <w:p>
            <w:pPr>
              <w:spacing w:after="40"/>
            </w:pPr>
            <w:r/>
            <w:r>
              <w:rPr>
                <w:rFonts w:ascii="Arial" w:hAnsi="Arial"/>
                <w:b w:val="0"/>
                <w:color w:val="4D7C0F"/>
                <w:sz w:val="19"/>
              </w:rPr>
              <w:t>[Name]</w:t>
            </w:r>
          </w:p>
        </w:tc>
      </w:tr>
      <w:tr>
        <w:tc>
          <w:tcPr>
            <w:tcW w:type="dxa" w:w="1814"/>
          </w:tcPr>
          <w:p>
            <w:pPr>
              <w:spacing w:after="40"/>
            </w:pPr>
            <w:r/>
            <w:r>
              <w:rPr>
                <w:rFonts w:ascii="Arial" w:hAnsi="Arial"/>
                <w:b/>
                <w:sz w:val="19"/>
              </w:rPr>
              <w:t>Tiers and controls</w:t>
            </w:r>
          </w:p>
        </w:tc>
        <w:tc>
          <w:tcPr>
            <w:tcW w:type="dxa" w:w="1020"/>
          </w:tcPr>
          <w:p>
            <w:pPr>
              <w:spacing w:after="40"/>
            </w:pPr>
            <w:r/>
            <w:r>
              <w:rPr>
                <w:rFonts w:ascii="Arial" w:hAnsi="Arial"/>
                <w:b w:val="0"/>
                <w:sz w:val="19"/>
              </w:rPr>
              <w:t>31 to 60</w:t>
            </w:r>
          </w:p>
        </w:tc>
        <w:tc>
          <w:tcPr>
            <w:tcW w:type="dxa" w:w="5329"/>
          </w:tcPr>
          <w:p>
            <w:pPr>
              <w:spacing w:after="40"/>
            </w:pPr>
            <w:r/>
            <w:r>
              <w:rPr>
                <w:rFonts w:ascii="Arial" w:hAnsi="Arial"/>
                <w:b w:val="0"/>
                <w:sz w:val="19"/>
              </w:rPr>
              <w:t>Tier every app on the inventory. Set up sign-in, central credentials, logging and the approved way to ship. Turn on secret scanning.</w:t>
            </w:r>
          </w:p>
        </w:tc>
        <w:tc>
          <w:tcPr>
            <w:tcW w:type="dxa" w:w="1247"/>
          </w:tcPr>
          <w:p>
            <w:pPr>
              <w:spacing w:after="40"/>
            </w:pPr>
            <w:r/>
            <w:r>
              <w:rPr>
                <w:rFonts w:ascii="Arial" w:hAnsi="Arial"/>
                <w:b w:val="0"/>
                <w:color w:val="4D7C0F"/>
                <w:sz w:val="19"/>
              </w:rPr>
              <w:t>[Name]</w:t>
            </w:r>
          </w:p>
        </w:tc>
      </w:tr>
      <w:tr>
        <w:tc>
          <w:tcPr>
            <w:tcW w:type="dxa" w:w="1814"/>
          </w:tcPr>
          <w:p>
            <w:pPr>
              <w:spacing w:after="40"/>
            </w:pPr>
            <w:r/>
            <w:r>
              <w:rPr>
                <w:rFonts w:ascii="Arial" w:hAnsi="Arial"/>
                <w:b/>
                <w:sz w:val="19"/>
              </w:rPr>
              <w:t>Pilot</w:t>
            </w:r>
          </w:p>
        </w:tc>
        <w:tc>
          <w:tcPr>
            <w:tcW w:type="dxa" w:w="1020"/>
          </w:tcPr>
          <w:p>
            <w:pPr>
              <w:spacing w:after="40"/>
            </w:pPr>
            <w:r/>
            <w:r>
              <w:rPr>
                <w:rFonts w:ascii="Arial" w:hAnsi="Arial"/>
                <w:b w:val="0"/>
                <w:sz w:val="19"/>
              </w:rPr>
              <w:t>61 to 90</w:t>
            </w:r>
          </w:p>
        </w:tc>
        <w:tc>
          <w:tcPr>
            <w:tcW w:type="dxa" w:w="5329"/>
          </w:tcPr>
          <w:p>
            <w:pPr>
              <w:spacing w:after="40"/>
            </w:pPr>
            <w:r/>
            <w:r>
              <w:rPr>
                <w:rFonts w:ascii="Arial" w:hAnsi="Arial"/>
                <w:b w:val="0"/>
                <w:sz w:val="19"/>
              </w:rPr>
              <w:t>Move two or three low-risk apps onto the approved way, end to end. Check the records answer the four questions in guideline 20.</w:t>
            </w:r>
          </w:p>
        </w:tc>
        <w:tc>
          <w:tcPr>
            <w:tcW w:type="dxa" w:w="1247"/>
          </w:tcPr>
          <w:p>
            <w:pPr>
              <w:spacing w:after="40"/>
            </w:pPr>
            <w:r/>
            <w:r>
              <w:rPr>
                <w:rFonts w:ascii="Arial" w:hAnsi="Arial"/>
                <w:b w:val="0"/>
                <w:color w:val="4D7C0F"/>
                <w:sz w:val="19"/>
              </w:rPr>
              <w:t>[Name]</w:t>
            </w:r>
          </w:p>
        </w:tc>
      </w:tr>
      <w:tr>
        <w:tc>
          <w:tcPr>
            <w:tcW w:type="dxa" w:w="1814"/>
          </w:tcPr>
          <w:p>
            <w:pPr>
              <w:spacing w:after="40"/>
            </w:pPr>
            <w:r/>
            <w:r>
              <w:rPr>
                <w:rFonts w:ascii="Arial" w:hAnsi="Arial"/>
                <w:b/>
                <w:sz w:val="19"/>
              </w:rPr>
              <w:t>Scale</w:t>
            </w:r>
          </w:p>
        </w:tc>
        <w:tc>
          <w:tcPr>
            <w:tcW w:type="dxa" w:w="1020"/>
          </w:tcPr>
          <w:p>
            <w:pPr>
              <w:spacing w:after="40"/>
            </w:pPr>
            <w:r/>
            <w:r>
              <w:rPr>
                <w:rFonts w:ascii="Arial" w:hAnsi="Arial"/>
                <w:b w:val="0"/>
                <w:sz w:val="19"/>
              </w:rPr>
              <w:t>After 90</w:t>
            </w:r>
          </w:p>
        </w:tc>
        <w:tc>
          <w:tcPr>
            <w:tcW w:type="dxa" w:w="5329"/>
          </w:tcPr>
          <w:p>
            <w:pPr>
              <w:spacing w:after="40"/>
            </w:pPr>
            <w:r/>
            <w:r>
              <w:rPr>
                <w:rFonts w:ascii="Arial" w:hAnsi="Arial"/>
                <w:b w:val="0"/>
                <w:sz w:val="19"/>
              </w:rPr>
              <w:t>Extend to more teams and higher tiers, using what the pilot showed works.</w:t>
            </w:r>
          </w:p>
        </w:tc>
        <w:tc>
          <w:tcPr>
            <w:tcW w:type="dxa" w:w="1247"/>
          </w:tcPr>
          <w:p>
            <w:pPr>
              <w:spacing w:after="40"/>
            </w:pPr>
            <w:r/>
            <w:r>
              <w:rPr>
                <w:rFonts w:ascii="Arial" w:hAnsi="Arial"/>
                <w:b w:val="0"/>
                <w:color w:val="4D7C0F"/>
                <w:sz w:val="19"/>
              </w:rPr>
              <w:t>[Name]</w:t>
            </w:r>
          </w:p>
        </w:tc>
      </w:tr>
    </w:tbl>
    <w:p/>
    <w:p>
      <w:pPr>
        <w:pStyle w:val="Heading2"/>
      </w:pPr>
      <w:r>
        <w:t>Signals to track</w:t>
      </w:r>
    </w:p>
    <w:p>
      <w:pPr>
        <w:pStyle w:val="ListBullet"/>
      </w:pPr>
      <w:r>
        <w:rPr>
          <w:rFonts w:ascii="Arial" w:hAnsi="Arial"/>
          <w:b/>
        </w:rPr>
        <w:t xml:space="preserve">Apps shipped the approved way: </w:t>
      </w:r>
      <w:r>
        <w:rPr>
          <w:rFonts w:ascii="Arial" w:hAnsi="Arial"/>
          <w:b w:val="0"/>
        </w:rPr>
        <w:t>The share of AI-built apps in production that went live through the approved way to ship.</w:t>
      </w:r>
    </w:p>
    <w:p>
      <w:pPr>
        <w:pStyle w:val="ListBullet"/>
      </w:pPr>
      <w:r>
        <w:rPr>
          <w:rFonts w:ascii="Arial" w:hAnsi="Arial"/>
          <w:b/>
        </w:rPr>
        <w:t xml:space="preserve">Time from prototype to production: </w:t>
      </w:r>
      <w:r>
        <w:rPr>
          <w:rFonts w:ascii="Arial" w:hAnsi="Arial"/>
          <w:b w:val="0"/>
        </w:rPr>
        <w:t>How long a working build takes to reach its users with sign-in, an owner and logging.</w:t>
      </w:r>
    </w:p>
    <w:p>
      <w:pPr>
        <w:pStyle w:val="ListBullet"/>
      </w:pPr>
      <w:r>
        <w:rPr>
          <w:rFonts w:ascii="Arial" w:hAnsi="Arial"/>
          <w:b/>
        </w:rPr>
        <w:t xml:space="preserve">Reuse: </w:t>
      </w:r>
      <w:r>
        <w:rPr>
          <w:rFonts w:ascii="Arial" w:hAnsi="Arial"/>
          <w:b w:val="0"/>
        </w:rPr>
        <w:t>How often a new need is met by an app that already exists.</w:t>
      </w:r>
    </w:p>
    <w:p>
      <w:pPr>
        <w:pStyle w:val="ListBullet"/>
      </w:pPr>
      <w:r>
        <w:rPr>
          <w:rFonts w:ascii="Arial" w:hAnsi="Arial"/>
          <w:b/>
        </w:rPr>
        <w:t xml:space="preserve">Open findings: </w:t>
      </w:r>
      <w:r>
        <w:rPr>
          <w:rFonts w:ascii="Arial" w:hAnsi="Arial"/>
          <w:b w:val="0"/>
        </w:rPr>
        <w:t>Secrets found, apps without owners and overdue fixes, at month end.</w:t>
      </w:r>
    </w:p>
    <w:p>
      <w:pPr>
        <w:pStyle w:val="Heading1"/>
      </w:pPr>
      <w:r>
        <w:t>10. Review</w:t>
      </w:r>
    </w:p>
    <w:p>
      <w:r>
        <w:rPr>
          <w:rFonts w:ascii="Arial" w:hAnsi="Arial"/>
          <w:b w:val="0"/>
          <w:color w:val="4D7C0F"/>
        </w:rPr>
        <w:t>[Owner]</w:t>
      </w:r>
      <w:r>
        <w:rPr>
          <w:rFonts w:ascii="Arial" w:hAnsi="Arial"/>
          <w:b w:val="0"/>
        </w:rPr>
        <w:t xml:space="preserve"> reviews this standard at least every </w:t>
      </w:r>
      <w:r>
        <w:rPr>
          <w:rFonts w:ascii="Arial" w:hAnsi="Arial"/>
          <w:b w:val="0"/>
          <w:color w:val="4D7C0F"/>
        </w:rPr>
        <w:t>[six months]</w:t>
      </w:r>
      <w:r>
        <w:rPr>
          <w:rFonts w:ascii="Arial" w:hAnsi="Arial"/>
          <w:b w:val="0"/>
        </w:rPr>
        <w:t xml:space="preserve">, and after any significant incident involving an AI-built app. Changes are approved by </w:t>
      </w:r>
      <w:r>
        <w:rPr>
          <w:rFonts w:ascii="Arial" w:hAnsi="Arial"/>
          <w:b w:val="0"/>
          <w:color w:val="4D7C0F"/>
        </w:rPr>
        <w:t>[approver]</w:t>
      </w:r>
      <w:r>
        <w:rPr>
          <w:rFonts w:ascii="Arial" w:hAnsi="Arial"/>
          <w:b w:val="0"/>
        </w:rPr>
        <w:t xml:space="preserve"> and recorded in the version history.</w:t>
      </w:r>
    </w:p>
    <w:p>
      <w:pPr>
        <w:pStyle w:val="Heading1"/>
      </w:pPr>
      <w:r>
        <w:t>Approval</w:t>
      </w:r>
    </w:p>
    <w:tbl>
      <w:tblPr>
        <w:tblStyle w:val="TableGrid"/>
        <w:tblW w:type="auto" w:w="0"/>
        <w:jc w:val="left"/>
        <w:tblLayout w:type="fixed"/>
        <w:tblLook w:firstColumn="1" w:firstRow="1" w:lastColumn="0" w:lastRow="0" w:noHBand="0" w:noVBand="1" w:val="04A0"/>
        <w:tblLayout w:type="fixed"/>
      </w:tblPr>
      <w:tblGrid>
        <w:gridCol w:w="2041"/>
        <w:gridCol w:w="2835"/>
        <w:gridCol w:w="2835"/>
        <w:gridCol w:w="1701"/>
      </w:tblGrid>
      <w:tr>
        <w:trPr>
          <w:tblHeader w:val="true"/>
        </w:trPr>
        <w:tc>
          <w:tcPr>
            <w:tcW w:type="dxa" w:w="2041"/>
            <w:shd w:val="clear" w:color="auto" w:fill="ADEE23"/>
          </w:tcPr>
          <w:p>
            <w:r/>
            <w:r>
              <w:rPr>
                <w:rFonts w:ascii="Arial" w:hAnsi="Arial"/>
                <w:b/>
                <w:sz w:val="20"/>
              </w:rPr>
              <w:t>Role</w:t>
            </w:r>
          </w:p>
        </w:tc>
        <w:tc>
          <w:tcPr>
            <w:tcW w:type="dxa" w:w="2835"/>
            <w:shd w:val="clear" w:color="auto" w:fill="ADEE23"/>
          </w:tcPr>
          <w:p>
            <w:r/>
            <w:r>
              <w:rPr>
                <w:rFonts w:ascii="Arial" w:hAnsi="Arial"/>
                <w:b/>
                <w:sz w:val="20"/>
              </w:rPr>
              <w:t>Name</w:t>
            </w:r>
          </w:p>
        </w:tc>
        <w:tc>
          <w:tcPr>
            <w:tcW w:type="dxa" w:w="2835"/>
            <w:shd w:val="clear" w:color="auto" w:fill="ADEE23"/>
          </w:tcPr>
          <w:p>
            <w:r/>
            <w:r>
              <w:rPr>
                <w:rFonts w:ascii="Arial" w:hAnsi="Arial"/>
                <w:b/>
                <w:sz w:val="20"/>
              </w:rPr>
              <w:t>Signature</w:t>
            </w:r>
          </w:p>
        </w:tc>
        <w:tc>
          <w:tcPr>
            <w:tcW w:type="dxa" w:w="1701"/>
            <w:shd w:val="clear" w:color="auto" w:fill="ADEE23"/>
          </w:tcPr>
          <w:p>
            <w:r/>
            <w:r>
              <w:rPr>
                <w:rFonts w:ascii="Arial" w:hAnsi="Arial"/>
                <w:b/>
                <w:sz w:val="20"/>
              </w:rPr>
              <w:t>Date</w:t>
            </w:r>
          </w:p>
        </w:tc>
      </w:tr>
      <w:tr>
        <w:trPr>
          <w:trHeight w:val="567"/>
        </w:trPr>
        <w:tc>
          <w:tcPr>
            <w:tcW w:type="dxa" w:w="2041"/>
          </w:tcPr>
          <w:p>
            <w:pPr>
              <w:spacing w:after="40"/>
            </w:pPr>
            <w:r/>
            <w:r>
              <w:rPr>
                <w:rFonts w:ascii="Arial" w:hAnsi="Arial"/>
                <w:b/>
                <w:sz w:val="20"/>
              </w:rPr>
              <w:t>Owner</w:t>
            </w:r>
          </w:p>
        </w:tc>
        <w:tc>
          <w:tcPr>
            <w:tcW w:type="dxa" w:w="2835"/>
          </w:tcPr>
          <w:p>
            <w:pPr>
              <w:spacing w:after="40"/>
            </w:pPr>
            <w:r/>
            <w:r>
              <w:rPr>
                <w:rFonts w:ascii="Arial" w:hAnsi="Arial"/>
                <w:b w:val="0"/>
                <w:color w:val="4D7C0F"/>
                <w:sz w:val="20"/>
              </w:rPr>
              <w:t>[Name, role]</w:t>
            </w:r>
          </w:p>
        </w:tc>
        <w:tc>
          <w:tcPr>
            <w:tcW w:type="dxa" w:w="2835"/>
          </w:tcPr>
          <w:p>
            <w:pPr>
              <w:spacing w:after="40"/>
            </w:pPr>
            <w:r/>
          </w:p>
        </w:tc>
        <w:tc>
          <w:tcPr>
            <w:tcW w:type="dxa" w:w="1701"/>
          </w:tcPr>
          <w:p>
            <w:pPr>
              <w:spacing w:after="40"/>
            </w:pPr>
            <w:r/>
          </w:p>
        </w:tc>
      </w:tr>
      <w:tr>
        <w:trPr>
          <w:trHeight w:val="567"/>
        </w:trPr>
        <w:tc>
          <w:tcPr>
            <w:tcW w:type="dxa" w:w="2041"/>
          </w:tcPr>
          <w:p>
            <w:pPr>
              <w:spacing w:after="40"/>
            </w:pPr>
            <w:r/>
            <w:r>
              <w:rPr>
                <w:rFonts w:ascii="Arial" w:hAnsi="Arial"/>
                <w:b/>
                <w:sz w:val="20"/>
              </w:rPr>
              <w:t>Approver</w:t>
            </w:r>
          </w:p>
        </w:tc>
        <w:tc>
          <w:tcPr>
            <w:tcW w:type="dxa" w:w="2835"/>
          </w:tcPr>
          <w:p>
            <w:pPr>
              <w:spacing w:after="40"/>
            </w:pPr>
            <w:r/>
            <w:r>
              <w:rPr>
                <w:rFonts w:ascii="Arial" w:hAnsi="Arial"/>
                <w:b w:val="0"/>
                <w:color w:val="4D7C0F"/>
                <w:sz w:val="20"/>
              </w:rPr>
              <w:t>[Name, role]</w:t>
            </w:r>
          </w:p>
        </w:tc>
        <w:tc>
          <w:tcPr>
            <w:tcW w:type="dxa" w:w="2835"/>
          </w:tcPr>
          <w:p>
            <w:pPr>
              <w:spacing w:after="40"/>
            </w:pPr>
            <w:r/>
          </w:p>
        </w:tc>
        <w:tc>
          <w:tcPr>
            <w:tcW w:type="dxa" w:w="1701"/>
          </w:tcPr>
          <w:p>
            <w:pPr>
              <w:spacing w:after="40"/>
            </w:pPr>
            <w:r/>
          </w:p>
        </w:tc>
      </w:tr>
      <w:tr>
        <w:trPr>
          <w:trHeight w:val="567"/>
        </w:trPr>
        <w:tc>
          <w:tcPr>
            <w:tcW w:type="dxa" w:w="2041"/>
          </w:tcPr>
          <w:p>
            <w:pPr>
              <w:spacing w:after="40"/>
            </w:pPr>
            <w:r/>
            <w:r>
              <w:rPr>
                <w:rFonts w:ascii="Arial" w:hAnsi="Arial"/>
                <w:b/>
                <w:sz w:val="20"/>
              </w:rPr>
              <w:t>Security</w:t>
            </w:r>
          </w:p>
        </w:tc>
        <w:tc>
          <w:tcPr>
            <w:tcW w:type="dxa" w:w="2835"/>
          </w:tcPr>
          <w:p>
            <w:pPr>
              <w:spacing w:after="40"/>
            </w:pPr>
            <w:r/>
            <w:r>
              <w:rPr>
                <w:rFonts w:ascii="Arial" w:hAnsi="Arial"/>
                <w:b w:val="0"/>
                <w:color w:val="4D7C0F"/>
                <w:sz w:val="20"/>
              </w:rPr>
              <w:t>[Name, role]</w:t>
            </w:r>
          </w:p>
        </w:tc>
        <w:tc>
          <w:tcPr>
            <w:tcW w:type="dxa" w:w="2835"/>
          </w:tcPr>
          <w:p>
            <w:pPr>
              <w:spacing w:after="40"/>
            </w:pPr>
            <w:r/>
          </w:p>
        </w:tc>
        <w:tc>
          <w:tcPr>
            <w:tcW w:type="dxa" w:w="1701"/>
          </w:tcPr>
          <w:p>
            <w:pPr>
              <w:spacing w:after="40"/>
            </w:pPr>
            <w:r/>
          </w:p>
        </w:tc>
      </w:tr>
    </w:tbl>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E767E"/>
        <w:sz w:val="17"/>
      </w:rPr>
      <w:t>Vibe-coding guidelines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s="Arial"/>
      <w:b w:val="0"/>
      <w:color w:val="1417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Arial" w:hAnsi="Arial" w:eastAsia="Arial" w:cs="Arial"/>
      <w:b/>
      <w:bCs/>
      <w:color w:val="14171A"/>
      <w:sz w:val="34"/>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Arial" w:hAnsi="Arial" w:eastAsia="Arial" w:cs="Arial"/>
      <w:b/>
      <w:bCs/>
      <w:color w:val="14171A"/>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1417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eastAsia="Arial" w:cs="Arial"/>
      <w:b/>
      <w:color w:val="14171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 standard for AI-built applications</dc:title>
  <dc:subject/>
  <dc:creator>Vibe-coding guidelines</dc:creator>
  <cp:keywords/>
  <dc:description>generated by python-docx</dc:description>
  <cp:lastModifiedBy/>
  <cp:revision>1</cp:revision>
  <dcterms:created xsi:type="dcterms:W3CDTF">2013-12-23T23:15:00Z</dcterms:created>
  <dcterms:modified xsi:type="dcterms:W3CDTF">2013-12-23T23:15:00Z</dcterms:modified>
  <cp:category/>
</cp:coreProperties>
</file>